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934B" w14:textId="0D3A87AE" w:rsidR="0021065F" w:rsidRDefault="00CB00E7" w:rsidP="00731D8E">
      <w:pPr>
        <w:rPr>
          <w:bCs/>
        </w:rPr>
      </w:pPr>
      <w:r w:rsidRPr="00CB00E7">
        <w:rPr>
          <w:bCs/>
          <w:noProof/>
        </w:rPr>
        <w:drawing>
          <wp:anchor distT="0" distB="0" distL="114300" distR="114300" simplePos="0" relativeHeight="251660288" behindDoc="1" locked="0" layoutInCell="1" allowOverlap="1" wp14:anchorId="73657DBF" wp14:editId="4F979CD5">
            <wp:simplePos x="0" y="0"/>
            <wp:positionH relativeFrom="column">
              <wp:posOffset>1910687</wp:posOffset>
            </wp:positionH>
            <wp:positionV relativeFrom="paragraph">
              <wp:posOffset>0</wp:posOffset>
            </wp:positionV>
            <wp:extent cx="1289713" cy="598556"/>
            <wp:effectExtent l="0" t="0" r="5715" b="0"/>
            <wp:wrapTight wrapText="bothSides">
              <wp:wrapPolygon edited="0">
                <wp:start x="0" y="0"/>
                <wp:lineTo x="0" y="20637"/>
                <wp:lineTo x="21377" y="20637"/>
                <wp:lineTo x="21377" y="0"/>
                <wp:lineTo x="0" y="0"/>
              </wp:wrapPolygon>
            </wp:wrapTight>
            <wp:docPr id="4" name="Picture 4" descr="N:\Logo - Scuderi Clean Energy\ESG CLean Energ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Logo - Scuderi Clean Energy\ESG CLean Energy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13" cy="59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C5A7E" w14:textId="13F08567" w:rsidR="0021065F" w:rsidRDefault="0021065F" w:rsidP="00731D8E">
      <w:pPr>
        <w:rPr>
          <w:bCs/>
        </w:rPr>
      </w:pPr>
    </w:p>
    <w:p w14:paraId="4BB522F0" w14:textId="77777777" w:rsidR="00805266" w:rsidRDefault="00805266" w:rsidP="00731D8E">
      <w:pPr>
        <w:rPr>
          <w:bCs/>
        </w:rPr>
      </w:pPr>
    </w:p>
    <w:p w14:paraId="4419EB95" w14:textId="77777777" w:rsidR="00805266" w:rsidRDefault="00805266" w:rsidP="00731D8E">
      <w:pPr>
        <w:rPr>
          <w:bCs/>
        </w:rPr>
      </w:pPr>
    </w:p>
    <w:p w14:paraId="7CFC217D" w14:textId="3CCE0700" w:rsidR="0021065F" w:rsidRDefault="00805266" w:rsidP="00731D8E">
      <w:pPr>
        <w:rPr>
          <w:bCs/>
        </w:rPr>
      </w:pPr>
      <w:r>
        <w:rPr>
          <w:bCs/>
        </w:rPr>
        <w:t>N</w:t>
      </w:r>
      <w:r w:rsidR="00CB00E7">
        <w:rPr>
          <w:bCs/>
        </w:rPr>
        <w:t xml:space="preserve">ovember </w:t>
      </w:r>
      <w:r w:rsidR="00017296">
        <w:rPr>
          <w:bCs/>
        </w:rPr>
        <w:t xml:space="preserve">16, </w:t>
      </w:r>
      <w:r w:rsidR="00CB00E7">
        <w:rPr>
          <w:bCs/>
        </w:rPr>
        <w:t>2021</w:t>
      </w:r>
    </w:p>
    <w:p w14:paraId="15095411" w14:textId="052E3ED7" w:rsidR="0021065F" w:rsidRDefault="0021065F" w:rsidP="00731D8E">
      <w:pPr>
        <w:rPr>
          <w:bCs/>
        </w:rPr>
      </w:pPr>
    </w:p>
    <w:p w14:paraId="46EF691C" w14:textId="77777777" w:rsidR="00017296" w:rsidRDefault="00017296" w:rsidP="00017296">
      <w:pPr>
        <w:spacing w:after="0"/>
        <w:jc w:val="center"/>
        <w:rPr>
          <w:b/>
          <w:bCs/>
          <w:sz w:val="28"/>
          <w:szCs w:val="28"/>
        </w:rPr>
      </w:pPr>
      <w:r w:rsidRPr="00BF494C">
        <w:rPr>
          <w:b/>
          <w:bCs/>
          <w:sz w:val="28"/>
          <w:szCs w:val="28"/>
        </w:rPr>
        <w:t xml:space="preserve">Response to Kerrisdale Capital’s (KC) Report Mentioning </w:t>
      </w:r>
    </w:p>
    <w:p w14:paraId="69A03667" w14:textId="77777777" w:rsidR="00017296" w:rsidRPr="00BF494C" w:rsidRDefault="00017296" w:rsidP="00017296">
      <w:pPr>
        <w:spacing w:after="0"/>
        <w:jc w:val="center"/>
        <w:rPr>
          <w:b/>
          <w:bCs/>
          <w:sz w:val="28"/>
          <w:szCs w:val="28"/>
        </w:rPr>
      </w:pPr>
      <w:r w:rsidRPr="00BF494C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ESG Clean Energy (ESG) and Scuderi Group (SG) Technology </w:t>
      </w:r>
    </w:p>
    <w:p w14:paraId="28BA7BAF" w14:textId="77777777" w:rsidR="0085335D" w:rsidRDefault="0085335D" w:rsidP="005D2A9D">
      <w:pPr>
        <w:rPr>
          <w:rFonts w:cstheme="minorHAnsi"/>
          <w:color w:val="201F1E"/>
          <w:shd w:val="clear" w:color="auto" w:fill="FFFFFF"/>
        </w:rPr>
      </w:pPr>
    </w:p>
    <w:p w14:paraId="3A66E340" w14:textId="21C1F942" w:rsidR="001A706D" w:rsidRPr="0085335D" w:rsidRDefault="0085335D" w:rsidP="005D2A9D">
      <w:pPr>
        <w:rPr>
          <w:rFonts w:cstheme="minorHAnsi"/>
          <w:b/>
          <w:color w:val="201F1E"/>
          <w:shd w:val="clear" w:color="auto" w:fill="FFFFFF"/>
        </w:rPr>
      </w:pPr>
      <w:r>
        <w:rPr>
          <w:rFonts w:cstheme="minorHAnsi"/>
          <w:color w:val="201F1E"/>
          <w:shd w:val="clear" w:color="auto" w:fill="FFFFFF"/>
        </w:rPr>
        <w:t>Kerrisdale Capital issued a research report on Camber Energy Inc. (CEI).  It is not an independent and disinter</w:t>
      </w:r>
      <w:r w:rsidR="00FB056E">
        <w:rPr>
          <w:rFonts w:cstheme="minorHAnsi"/>
          <w:color w:val="201F1E"/>
          <w:shd w:val="clear" w:color="auto" w:fill="FFFFFF"/>
        </w:rPr>
        <w:t>est</w:t>
      </w:r>
      <w:r>
        <w:rPr>
          <w:rFonts w:cstheme="minorHAnsi"/>
          <w:color w:val="201F1E"/>
          <w:shd w:val="clear" w:color="auto" w:fill="FFFFFF"/>
        </w:rPr>
        <w:t>ed report.  K</w:t>
      </w:r>
      <w:r w:rsidR="005026FF">
        <w:rPr>
          <w:rFonts w:cstheme="minorHAnsi"/>
          <w:color w:val="201F1E"/>
          <w:shd w:val="clear" w:color="auto" w:fill="FFFFFF"/>
        </w:rPr>
        <w:t>errisdale Capital is a short seller that held and may still hold positions in the stock of CEI</w:t>
      </w:r>
      <w:r w:rsidR="001B4B43">
        <w:rPr>
          <w:rFonts w:cstheme="minorHAnsi"/>
          <w:color w:val="201F1E"/>
          <w:shd w:val="clear" w:color="auto" w:fill="FFFFFF"/>
        </w:rPr>
        <w:t>. T</w:t>
      </w:r>
      <w:r>
        <w:rPr>
          <w:rFonts w:cstheme="minorHAnsi"/>
          <w:color w:val="201F1E"/>
          <w:shd w:val="clear" w:color="auto" w:fill="FFFFFF"/>
        </w:rPr>
        <w:t xml:space="preserve">his </w:t>
      </w:r>
      <w:r w:rsidR="001B4B43">
        <w:rPr>
          <w:rFonts w:cstheme="minorHAnsi"/>
          <w:color w:val="201F1E"/>
          <w:shd w:val="clear" w:color="auto" w:fill="FFFFFF"/>
        </w:rPr>
        <w:t xml:space="preserve">report </w:t>
      </w:r>
      <w:r>
        <w:rPr>
          <w:rFonts w:cstheme="minorHAnsi"/>
          <w:color w:val="201F1E"/>
          <w:shd w:val="clear" w:color="auto" w:fill="FFFFFF"/>
        </w:rPr>
        <w:t>includes misinformation on Scuderi Group technology and a licensing arrangement between ESG Clean Energy and Camber/Viking</w:t>
      </w:r>
      <w:r w:rsidR="005026FF">
        <w:rPr>
          <w:rFonts w:cstheme="minorHAnsi"/>
          <w:color w:val="201F1E"/>
          <w:shd w:val="clear" w:color="auto" w:fill="FFFFFF"/>
        </w:rPr>
        <w:t xml:space="preserve">. </w:t>
      </w:r>
      <w:r w:rsidR="00144D4E" w:rsidRPr="00144D4E">
        <w:rPr>
          <w:rFonts w:cstheme="minorHAnsi"/>
          <w:color w:val="201F1E"/>
          <w:shd w:val="clear" w:color="auto" w:fill="FFFFFF"/>
        </w:rPr>
        <w:t>We welcome this opportunity to correct this information.</w:t>
      </w:r>
      <w:r w:rsidR="005D2A9D">
        <w:rPr>
          <w:rFonts w:cstheme="minorHAnsi"/>
          <w:color w:val="201F1E"/>
          <w:shd w:val="clear" w:color="auto" w:fill="FFFFFF"/>
        </w:rPr>
        <w:t xml:space="preserve">  </w:t>
      </w:r>
    </w:p>
    <w:p w14:paraId="444B867E" w14:textId="77777777" w:rsidR="00D068D5" w:rsidRDefault="00D068D5">
      <w:pPr>
        <w:rPr>
          <w:b/>
          <w:bCs/>
        </w:rPr>
      </w:pPr>
    </w:p>
    <w:p w14:paraId="438EDB63" w14:textId="22A5E4FD" w:rsidR="00925CAE" w:rsidRPr="00AD4D9F" w:rsidRDefault="00925CAE">
      <w:pPr>
        <w:rPr>
          <w:b/>
          <w:bCs/>
        </w:rPr>
      </w:pPr>
      <w:r w:rsidRPr="00AD4D9F">
        <w:rPr>
          <w:b/>
          <w:bCs/>
        </w:rPr>
        <w:t>SG History</w:t>
      </w:r>
    </w:p>
    <w:p w14:paraId="4ECC06B9" w14:textId="2984306B" w:rsidR="0085335D" w:rsidRPr="00505BB4" w:rsidRDefault="0085335D">
      <w:pPr>
        <w:rPr>
          <w:i/>
        </w:rPr>
      </w:pPr>
      <w:r>
        <w:t>KC suggests that SG is not an established and viable firm. That is not correct.</w:t>
      </w:r>
      <w:r w:rsidR="00D068D5">
        <w:t xml:space="preserve"> </w:t>
      </w:r>
      <w:r w:rsidR="00505BB4" w:rsidRPr="00505BB4">
        <w:t xml:space="preserve">Carmelo J. Scuderi invented the Scuderi Split-Cycle Engine and, in 2002, started the Scuderi Group, Inc. The Scuderi Group is presently a research and development company with a large and growing patent portfolio. To date, the Scuderi Group has been issued, and maintains, over 200 domestic and foreign patents covering all aspects of internal combustion engine </w:t>
      </w:r>
      <w:r w:rsidR="00D068D5">
        <w:t xml:space="preserve">technology, energy storage, </w:t>
      </w:r>
      <w:r w:rsidR="00505BB4" w:rsidRPr="00505BB4">
        <w:t>power generation</w:t>
      </w:r>
      <w:r w:rsidR="00D068D5">
        <w:t>, and carbon capture</w:t>
      </w:r>
      <w:r w:rsidR="00505BB4" w:rsidRPr="00505BB4">
        <w:t>. The Scuderi Group owns all the patents</w:t>
      </w:r>
      <w:r w:rsidR="001B4B43">
        <w:t>,</w:t>
      </w:r>
      <w:r w:rsidR="00505BB4" w:rsidRPr="00505BB4">
        <w:t xml:space="preserve"> and its business model is the licensing of its technology. </w:t>
      </w:r>
    </w:p>
    <w:p w14:paraId="57DE6774" w14:textId="3C38F685" w:rsidR="005026FF" w:rsidRDefault="00505BB4">
      <w:r>
        <w:t xml:space="preserve">The Scuderi Group and the SEC entered into a settlement regarding events that </w:t>
      </w:r>
      <w:r w:rsidR="001B4B43">
        <w:t xml:space="preserve">took place over ten years ago. </w:t>
      </w:r>
      <w:r>
        <w:t xml:space="preserve">Scuderi Group neither admits nor denies the </w:t>
      </w:r>
      <w:r w:rsidR="001B4B43">
        <w:t xml:space="preserve">allegations in the settlement. </w:t>
      </w:r>
      <w:r>
        <w:t>The settlement has nothing to do with the technology or the license agreement with ESG</w:t>
      </w:r>
      <w:r w:rsidR="003E3ABF">
        <w:t xml:space="preserve"> Clean Energy or the Camber license agreement.</w:t>
      </w:r>
      <w:r>
        <w:t xml:space="preserve"> </w:t>
      </w:r>
    </w:p>
    <w:p w14:paraId="267B0881" w14:textId="18D4C897" w:rsidR="000951FE" w:rsidRDefault="000951FE">
      <w:r>
        <w:t xml:space="preserve">A review of the </w:t>
      </w:r>
      <w:r w:rsidR="00F91E72">
        <w:t>Scuderi Group</w:t>
      </w:r>
      <w:r>
        <w:t xml:space="preserve">’s response to the Wells </w:t>
      </w:r>
      <w:r w:rsidR="004212D4">
        <w:t>Notice</w:t>
      </w:r>
      <w:r>
        <w:t xml:space="preserve"> from the SEC provides </w:t>
      </w:r>
      <w:r w:rsidR="004212D4">
        <w:t xml:space="preserve">much more </w:t>
      </w:r>
      <w:r w:rsidR="00833893">
        <w:t xml:space="preserve">detailed </w:t>
      </w:r>
      <w:r w:rsidR="00BC0263">
        <w:t>information</w:t>
      </w:r>
      <w:r w:rsidR="004212D4">
        <w:t>.</w:t>
      </w:r>
      <w:r>
        <w:t xml:space="preserve"> The entire response to the Wells notice can be downloaded from the Scuderi Group website</w:t>
      </w:r>
      <w:r w:rsidR="0009403B">
        <w:t xml:space="preserve"> by following the link provided </w:t>
      </w:r>
      <w:hyperlink r:id="rId9" w:tooltip="Wells Notice Response" w:history="1">
        <w:r w:rsidR="0021469A" w:rsidRPr="00D35B37">
          <w:rPr>
            <w:rStyle w:val="Hyperlink"/>
          </w:rPr>
          <w:t>here</w:t>
        </w:r>
      </w:hyperlink>
      <w:r>
        <w:t>.</w:t>
      </w:r>
      <w:r w:rsidR="00833893">
        <w:t xml:space="preserve"> </w:t>
      </w:r>
    </w:p>
    <w:p w14:paraId="3304DB5C" w14:textId="77777777" w:rsidR="00C21629" w:rsidRDefault="00C21629">
      <w:pPr>
        <w:rPr>
          <w:b/>
          <w:bCs/>
        </w:rPr>
      </w:pPr>
    </w:p>
    <w:p w14:paraId="076F2647" w14:textId="0D013A17" w:rsidR="00925CAE" w:rsidRPr="00AD4D9F" w:rsidRDefault="006B2CBE">
      <w:pPr>
        <w:rPr>
          <w:b/>
          <w:bCs/>
        </w:rPr>
      </w:pPr>
      <w:r w:rsidRPr="00AD4D9F">
        <w:rPr>
          <w:b/>
          <w:bCs/>
        </w:rPr>
        <w:t xml:space="preserve">The </w:t>
      </w:r>
      <w:r w:rsidR="00925CAE" w:rsidRPr="00AD4D9F">
        <w:rPr>
          <w:b/>
          <w:bCs/>
        </w:rPr>
        <w:t>Technology</w:t>
      </w:r>
      <w:r w:rsidR="001B4B43">
        <w:rPr>
          <w:b/>
          <w:bCs/>
        </w:rPr>
        <w:t xml:space="preserve"> and its I</w:t>
      </w:r>
      <w:r w:rsidR="00C8743C" w:rsidRPr="00AD4D9F">
        <w:rPr>
          <w:b/>
          <w:bCs/>
        </w:rPr>
        <w:t>mpact</w:t>
      </w:r>
    </w:p>
    <w:p w14:paraId="16A11A4A" w14:textId="395F1768" w:rsidR="003E3ABF" w:rsidRPr="003E3ABF" w:rsidRDefault="003E3ABF" w:rsidP="003E3ABF">
      <w:pPr>
        <w:rPr>
          <w:b/>
        </w:rPr>
      </w:pPr>
      <w:r w:rsidRPr="003E3ABF">
        <w:rPr>
          <w:bCs/>
        </w:rPr>
        <w:t xml:space="preserve">To assess the technology and the value of the license requires a basic understanding of the technology, licensing, the power industry, and thermodynamics - the science behind the technology. Without at </w:t>
      </w:r>
      <w:r w:rsidRPr="003E3ABF">
        <w:rPr>
          <w:bCs/>
        </w:rPr>
        <w:lastRenderedPageBreak/>
        <w:t>least a basic understanding of these critical areas, it is impossible to accurately assess the validity of the technology or the impact of the license.</w:t>
      </w:r>
      <w:r w:rsidR="001B4B43">
        <w:rPr>
          <w:bCs/>
        </w:rPr>
        <w:t xml:space="preserve"> </w:t>
      </w:r>
      <w:r>
        <w:rPr>
          <w:bCs/>
        </w:rPr>
        <w:t>KC does not understand the technology.</w:t>
      </w:r>
    </w:p>
    <w:p w14:paraId="79AE2BBF" w14:textId="126F62C8" w:rsidR="006D6083" w:rsidRDefault="00EF07E7">
      <w:r>
        <w:t xml:space="preserve">Kerrisdale </w:t>
      </w:r>
      <w:r w:rsidR="00E84F50">
        <w:t>describe</w:t>
      </w:r>
      <w:r>
        <w:t>s</w:t>
      </w:r>
      <w:r w:rsidR="00E84F50">
        <w:t xml:space="preserve"> the technology as </w:t>
      </w:r>
      <w:r w:rsidR="00591CFF">
        <w:t>“in</w:t>
      </w:r>
      <w:r w:rsidR="00E84F50">
        <w:t xml:space="preserve"> essence, the concept of collecting the exhaust gases emitted by a natural-gas-fueled electric generator, cooling it down to distill out the water vapor, and isolating the remaining carbon dioxide</w:t>
      </w:r>
      <w:r w:rsidR="00591CFF">
        <w:t>”</w:t>
      </w:r>
      <w:r w:rsidR="00B42359">
        <w:t>.</w:t>
      </w:r>
      <w:r w:rsidR="00E84F50">
        <w:t xml:space="preserve"> </w:t>
      </w:r>
      <w:r w:rsidR="003E3ABF">
        <w:t xml:space="preserve">This </w:t>
      </w:r>
      <w:r w:rsidR="005A296C">
        <w:t xml:space="preserve">is not </w:t>
      </w:r>
      <w:r w:rsidR="003E3ABF">
        <w:t xml:space="preserve">correct.  </w:t>
      </w:r>
      <w:r w:rsidR="00591CFF">
        <w:t>The</w:t>
      </w:r>
      <w:r w:rsidR="00E84F50">
        <w:t xml:space="preserve"> remova</w:t>
      </w:r>
      <w:r>
        <w:t>l of the water from the exhaust</w:t>
      </w:r>
      <w:r w:rsidR="00636B47">
        <w:t xml:space="preserve"> </w:t>
      </w:r>
      <w:r w:rsidR="00E84F50">
        <w:t>is not done by simply cooling the exhaust</w:t>
      </w:r>
      <w:r w:rsidR="00CF3E5C">
        <w:t>. C</w:t>
      </w:r>
      <w:r w:rsidR="004E54D8">
        <w:t xml:space="preserve">ondensation of water vapor is dependent on numerous </w:t>
      </w:r>
      <w:r w:rsidR="00E74227">
        <w:t>psych</w:t>
      </w:r>
      <w:r w:rsidR="00C34B23">
        <w:t>r</w:t>
      </w:r>
      <w:r w:rsidR="00E74227">
        <w:t>ometric</w:t>
      </w:r>
      <w:r w:rsidR="004E54D8">
        <w:t xml:space="preserve"> properties of </w:t>
      </w:r>
      <w:r w:rsidR="005655F4">
        <w:t>air</w:t>
      </w:r>
      <w:r w:rsidR="004E54D8">
        <w:t xml:space="preserve"> and water vapor</w:t>
      </w:r>
      <w:r w:rsidR="0087367F">
        <w:t xml:space="preserve"> including</w:t>
      </w:r>
      <w:r w:rsidR="004E54D8">
        <w:t xml:space="preserve"> relative humidity, temperature, pressure, enthalpy, and the thermodynamics of energy required to accomplish the condensation. Simply trying to cool the exhaust will not work because it requires too much </w:t>
      </w:r>
      <w:r w:rsidR="00666F8F">
        <w:t>energy</w:t>
      </w:r>
      <w:r w:rsidR="001B4B43">
        <w:t>,</w:t>
      </w:r>
      <w:r w:rsidR="00666F8F">
        <w:t xml:space="preserve"> and</w:t>
      </w:r>
      <w:r w:rsidR="004E54D8">
        <w:t xml:space="preserve"> cooling alon</w:t>
      </w:r>
      <w:r w:rsidR="00E74227">
        <w:t>e</w:t>
      </w:r>
      <w:r w:rsidR="004E54D8">
        <w:t xml:space="preserve"> will not achieve a</w:t>
      </w:r>
      <w:r w:rsidR="00591CFF">
        <w:t xml:space="preserve">n </w:t>
      </w:r>
      <w:r w:rsidR="004E54D8">
        <w:t xml:space="preserve">exhaust </w:t>
      </w:r>
      <w:r w:rsidR="00591CFF">
        <w:t xml:space="preserve">dry enough </w:t>
      </w:r>
      <w:r w:rsidR="004E54D8">
        <w:t>to enable effective and efficient carbon capture utilizing solid a</w:t>
      </w:r>
      <w:r w:rsidR="00A76A78">
        <w:t>d</w:t>
      </w:r>
      <w:r w:rsidR="004E54D8">
        <w:t>sorbers.</w:t>
      </w:r>
      <w:r w:rsidR="00C15A25">
        <w:t xml:space="preserve"> One of the biggest advantages o</w:t>
      </w:r>
      <w:r w:rsidR="00591CFF">
        <w:t>f</w:t>
      </w:r>
      <w:r w:rsidR="00C15A25">
        <w:t xml:space="preserve"> the SG carbon capture system is the use of waste heat energy to drive the water condensatio</w:t>
      </w:r>
      <w:r w:rsidR="00591CFF">
        <w:t xml:space="preserve">n </w:t>
      </w:r>
      <w:r w:rsidR="00C15A25">
        <w:t>and its ability to generate carbon</w:t>
      </w:r>
      <w:r w:rsidR="00591CFF">
        <w:t>-</w:t>
      </w:r>
      <w:r w:rsidR="00C15A25">
        <w:t>free electricity utilizing its patented in</w:t>
      </w:r>
      <w:r>
        <w:t>verted Brayton cycle.</w:t>
      </w:r>
    </w:p>
    <w:p w14:paraId="7B351032" w14:textId="2F1A409D" w:rsidR="00D73376" w:rsidRDefault="00E74227" w:rsidP="0040353E">
      <w:r>
        <w:t>K</w:t>
      </w:r>
      <w:r w:rsidR="006942CA">
        <w:t>C</w:t>
      </w:r>
      <w:r>
        <w:t xml:space="preserve"> states that </w:t>
      </w:r>
      <w:r w:rsidR="007F3F69">
        <w:t>the Company</w:t>
      </w:r>
      <w:r>
        <w:t xml:space="preserve"> </w:t>
      </w:r>
      <w:r w:rsidR="00666F8F">
        <w:t>mentions</w:t>
      </w:r>
      <w:r>
        <w:t xml:space="preserve"> selling the captured CO2 to cannabis growers and then states that this would only cause additional CO2 to enter the atmosphe</w:t>
      </w:r>
      <w:r w:rsidR="0040353E">
        <w:t>r</w:t>
      </w:r>
      <w:r w:rsidR="00636B47">
        <w:t xml:space="preserve">e. Their </w:t>
      </w:r>
      <w:r>
        <w:t>conclusion</w:t>
      </w:r>
      <w:r w:rsidR="00EF07E7">
        <w:t xml:space="preserve"> </w:t>
      </w:r>
      <w:r w:rsidR="00D31D34">
        <w:t>claims to be</w:t>
      </w:r>
      <w:r>
        <w:t xml:space="preserve"> based upon a study they </w:t>
      </w:r>
      <w:r w:rsidR="00666F8F">
        <w:t>c</w:t>
      </w:r>
      <w:r>
        <w:t xml:space="preserve">ited in </w:t>
      </w:r>
      <w:r w:rsidRPr="0009403B">
        <w:rPr>
          <w:i/>
        </w:rPr>
        <w:t>Nature</w:t>
      </w:r>
      <w:r w:rsidR="00E751E7" w:rsidRPr="0009403B">
        <w:rPr>
          <w:i/>
        </w:rPr>
        <w:t xml:space="preserve"> Sustainability</w:t>
      </w:r>
      <w:r>
        <w:t xml:space="preserve">. </w:t>
      </w:r>
      <w:r w:rsidR="00636B47">
        <w:t xml:space="preserve"> </w:t>
      </w:r>
      <w:r w:rsidR="00D31D34">
        <w:t>This is not correct.</w:t>
      </w:r>
    </w:p>
    <w:p w14:paraId="71479BC9" w14:textId="575A3410" w:rsidR="00D73376" w:rsidRDefault="0040353E" w:rsidP="0040353E">
      <w:r>
        <w:t xml:space="preserve">The </w:t>
      </w:r>
      <w:r w:rsidR="00666F8F">
        <w:t xml:space="preserve">study </w:t>
      </w:r>
      <w:r w:rsidR="007572B2">
        <w:t xml:space="preserve">cited </w:t>
      </w:r>
      <w:r w:rsidR="00B86055">
        <w:t>in</w:t>
      </w:r>
      <w:r w:rsidR="00666F8F">
        <w:t xml:space="preserve"> </w:t>
      </w:r>
      <w:r w:rsidR="00666F8F" w:rsidRPr="0009403B">
        <w:rPr>
          <w:i/>
        </w:rPr>
        <w:t>Nature Sustainability</w:t>
      </w:r>
      <w:r>
        <w:t xml:space="preserve"> </w:t>
      </w:r>
      <w:r w:rsidR="00636B47">
        <w:t xml:space="preserve">actually </w:t>
      </w:r>
      <w:r w:rsidR="007572B2">
        <w:t>states that</w:t>
      </w:r>
      <w:r>
        <w:t xml:space="preserve"> the major contributor of </w:t>
      </w:r>
      <w:r w:rsidR="00CE1CA4">
        <w:t>greenhouse gas</w:t>
      </w:r>
      <w:r w:rsidR="0009403B">
        <w:t xml:space="preserve"> (</w:t>
      </w:r>
      <w:r>
        <w:t>GHG</w:t>
      </w:r>
      <w:r w:rsidR="0009403B">
        <w:t>)</w:t>
      </w:r>
      <w:r>
        <w:t xml:space="preserve"> emissions from cannabis growers is from the CO2 produced by the </w:t>
      </w:r>
      <w:r w:rsidR="00EC7281">
        <w:t>electricity</w:t>
      </w:r>
      <w:r>
        <w:t xml:space="preserve"> generated </w:t>
      </w:r>
      <w:r w:rsidR="00EC7281">
        <w:t xml:space="preserve">by the main grid in whatever city the growers </w:t>
      </w:r>
      <w:r w:rsidR="007572B2">
        <w:t>operate.</w:t>
      </w:r>
      <w:r w:rsidR="00EC7281">
        <w:t xml:space="preserve"> </w:t>
      </w:r>
      <w:r>
        <w:t xml:space="preserve">Cannabis growers have </w:t>
      </w:r>
      <w:r w:rsidR="007572B2">
        <w:t>exceptionally large</w:t>
      </w:r>
      <w:r>
        <w:t xml:space="preserve"> energy requirements </w:t>
      </w:r>
      <w:r w:rsidR="00EC7281">
        <w:t xml:space="preserve">because </w:t>
      </w:r>
      <w:r>
        <w:t>of the high intensity light</w:t>
      </w:r>
      <w:r w:rsidR="005655F4">
        <w:t>s</w:t>
      </w:r>
      <w:r>
        <w:t xml:space="preserve"> need</w:t>
      </w:r>
      <w:r w:rsidR="005655F4">
        <w:t>ed</w:t>
      </w:r>
      <w:r>
        <w:t xml:space="preserve"> for the plants and the HVAC energy needed to control the heat and humidity of the indoor facility.</w:t>
      </w:r>
      <w:r w:rsidR="007572B2">
        <w:t xml:space="preserve"> </w:t>
      </w:r>
      <w:r>
        <w:t>The</w:t>
      </w:r>
      <w:r w:rsidR="005655F4">
        <w:t xml:space="preserve"> </w:t>
      </w:r>
      <w:r w:rsidR="007572B2">
        <w:t>study</w:t>
      </w:r>
      <w:r>
        <w:t xml:space="preserve"> also state</w:t>
      </w:r>
      <w:r w:rsidR="005655F4">
        <w:t>s</w:t>
      </w:r>
      <w:r>
        <w:t xml:space="preserve"> that cannabis growers utilize CO2 to enhance the growth cycle of the plants.</w:t>
      </w:r>
      <w:r w:rsidR="007572B2">
        <w:t xml:space="preserve"> </w:t>
      </w:r>
      <w:r>
        <w:t>The</w:t>
      </w:r>
      <w:r w:rsidR="00CE1CA4">
        <w:t xml:space="preserve"> study</w:t>
      </w:r>
      <w:r w:rsidR="00EC7281">
        <w:t xml:space="preserve"> </w:t>
      </w:r>
      <w:r w:rsidR="007572B2">
        <w:t>further</w:t>
      </w:r>
      <w:r w:rsidR="00EC7281">
        <w:t xml:space="preserve"> states </w:t>
      </w:r>
      <w:r w:rsidR="00B86055">
        <w:t xml:space="preserve">that </w:t>
      </w:r>
      <w:r w:rsidR="00EC7281">
        <w:t>the</w:t>
      </w:r>
      <w:r>
        <w:t xml:space="preserve"> GHG</w:t>
      </w:r>
      <w:r w:rsidR="00D270FA">
        <w:t>s</w:t>
      </w:r>
      <w:r w:rsidR="00EC7281">
        <w:t xml:space="preserve"> escap</w:t>
      </w:r>
      <w:r w:rsidR="00D270FA">
        <w:t>ing</w:t>
      </w:r>
      <w:r w:rsidR="00EC7281">
        <w:t xml:space="preserve"> into the atmosphere come </w:t>
      </w:r>
      <w:r>
        <w:t xml:space="preserve">from the </w:t>
      </w:r>
      <w:r w:rsidR="00EC7281">
        <w:t xml:space="preserve">electricity used to bottle the </w:t>
      </w:r>
      <w:r>
        <w:t xml:space="preserve">CO2 and </w:t>
      </w:r>
      <w:r w:rsidR="00EC7281">
        <w:t xml:space="preserve">the emissions from </w:t>
      </w:r>
      <w:r>
        <w:t>transportation of th</w:t>
      </w:r>
      <w:r w:rsidR="00B86055">
        <w:t xml:space="preserve">e bottled CO2 to the facility. </w:t>
      </w:r>
      <w:r>
        <w:t>However, the CO2 pumped into the facility</w:t>
      </w:r>
      <w:r w:rsidR="00A76A78">
        <w:t xml:space="preserve"> to improve the grow cycle is ab</w:t>
      </w:r>
      <w:r>
        <w:t>sorbed by the plants and in</w:t>
      </w:r>
      <w:r w:rsidR="00D73376">
        <w:t xml:space="preserve"> </w:t>
      </w:r>
      <w:r>
        <w:t>fact is counted as a reduction in overall GHG emissions</w:t>
      </w:r>
      <w:r w:rsidR="007572B2">
        <w:t>.</w:t>
      </w:r>
    </w:p>
    <w:p w14:paraId="6024C69E" w14:textId="4A9A2E21" w:rsidR="0040353E" w:rsidRDefault="00636B47" w:rsidP="0040353E">
      <w:r>
        <w:t>T</w:t>
      </w:r>
      <w:r w:rsidR="0040353E">
        <w:t xml:space="preserve">he SG technology addresses </w:t>
      </w:r>
      <w:r w:rsidR="00C8743C">
        <w:t>all</w:t>
      </w:r>
      <w:r w:rsidR="0040353E">
        <w:t xml:space="preserve"> the GHG emissions</w:t>
      </w:r>
      <w:r w:rsidR="00746468">
        <w:t xml:space="preserve"> concerns</w:t>
      </w:r>
      <w:r w:rsidR="0040353E">
        <w:t xml:space="preserve"> for cannabis growers. </w:t>
      </w:r>
      <w:r w:rsidR="007572B2">
        <w:t>All</w:t>
      </w:r>
      <w:r w:rsidR="0040353E">
        <w:t xml:space="preserve"> </w:t>
      </w:r>
      <w:r w:rsidR="00EC7281">
        <w:t>electricity</w:t>
      </w:r>
      <w:r w:rsidR="009668FA">
        <w:t>,</w:t>
      </w:r>
      <w:r w:rsidR="00EC7281">
        <w:t xml:space="preserve"> </w:t>
      </w:r>
      <w:r w:rsidR="004B3C4F">
        <w:t>both</w:t>
      </w:r>
      <w:r w:rsidR="00EC7281">
        <w:t xml:space="preserve"> for </w:t>
      </w:r>
      <w:r w:rsidR="004B3C4F">
        <w:t>lights</w:t>
      </w:r>
      <w:r w:rsidR="0040353E">
        <w:t xml:space="preserve"> and </w:t>
      </w:r>
      <w:r w:rsidR="004B3C4F">
        <w:t xml:space="preserve">HVAC </w:t>
      </w:r>
      <w:r w:rsidR="00927C47">
        <w:t>requirements, which</w:t>
      </w:r>
      <w:r w:rsidR="004B3C4F">
        <w:t xml:space="preserve"> is produced </w:t>
      </w:r>
      <w:r w:rsidR="0040353E">
        <w:t xml:space="preserve">by </w:t>
      </w:r>
      <w:r w:rsidR="005E2B62">
        <w:t>the SG system</w:t>
      </w:r>
      <w:r w:rsidR="00B86055">
        <w:t>,</w:t>
      </w:r>
      <w:r w:rsidR="005E2B62">
        <w:t xml:space="preserve"> is CO2 free. In addition, the CO2 captured during the </w:t>
      </w:r>
      <w:r w:rsidR="00EC7281">
        <w:t xml:space="preserve">production of the electricity </w:t>
      </w:r>
      <w:r w:rsidR="004B3C4F">
        <w:t xml:space="preserve">is </w:t>
      </w:r>
      <w:r w:rsidR="005E2B62">
        <w:t>supplied to the cannabis grower</w:t>
      </w:r>
      <w:r w:rsidR="007572B2">
        <w:t>,</w:t>
      </w:r>
      <w:r w:rsidR="00D73376">
        <w:t xml:space="preserve"> essentially closing the loop on </w:t>
      </w:r>
      <w:r w:rsidR="007572B2">
        <w:t>p</w:t>
      </w:r>
      <w:r w:rsidR="00D73376">
        <w:t>ower production, CO2 capture and CO2 utilization</w:t>
      </w:r>
      <w:r w:rsidR="005E2B62">
        <w:t xml:space="preserve">. </w:t>
      </w:r>
      <w:r w:rsidR="007572B2">
        <w:t>Furthermore</w:t>
      </w:r>
      <w:r w:rsidR="004B3C4F">
        <w:t>, s</w:t>
      </w:r>
      <w:r w:rsidR="005E2B62">
        <w:t xml:space="preserve">ince SG is a distributed power system, it is </w:t>
      </w:r>
      <w:r w:rsidR="007572B2">
        <w:t>located very close</w:t>
      </w:r>
      <w:r w:rsidR="005E2B62">
        <w:t xml:space="preserve"> to the growers and therefore has little to no GHG em</w:t>
      </w:r>
      <w:r w:rsidR="00A31963">
        <w:t xml:space="preserve">issions due to transportation. </w:t>
      </w:r>
      <w:r w:rsidR="005E2B62">
        <w:t>Also</w:t>
      </w:r>
      <w:r w:rsidR="004B3C4F">
        <w:t>,</w:t>
      </w:r>
      <w:r w:rsidR="005E2B62">
        <w:t xml:space="preserve"> because clean excess power generated by the SG inverted Brayton cycle </w:t>
      </w:r>
      <w:r w:rsidR="004B3C4F">
        <w:t>is used for the</w:t>
      </w:r>
      <w:r w:rsidR="005E2B62">
        <w:t xml:space="preserve"> bottling of the CO2</w:t>
      </w:r>
      <w:r w:rsidR="00E5628E">
        <w:t>,</w:t>
      </w:r>
      <w:r w:rsidR="005E2B62">
        <w:t xml:space="preserve"> </w:t>
      </w:r>
      <w:r w:rsidR="004B3C4F">
        <w:t>there is no GHG emissions from the bottling operation.</w:t>
      </w:r>
      <w:r w:rsidR="00D73376">
        <w:t xml:space="preserve"> </w:t>
      </w:r>
      <w:r w:rsidR="00E5628E">
        <w:t>Accounting</w:t>
      </w:r>
      <w:r w:rsidR="004B3C4F">
        <w:t xml:space="preserve"> for the fact that the plants consume CO2</w:t>
      </w:r>
      <w:r w:rsidR="00A52B9C">
        <w:t>,</w:t>
      </w:r>
      <w:r w:rsidR="00CE1CA4">
        <w:t xml:space="preserve"> the </w:t>
      </w:r>
      <w:r w:rsidR="004B3C4F">
        <w:t xml:space="preserve">result is a </w:t>
      </w:r>
      <w:r w:rsidR="00CE1CA4">
        <w:t xml:space="preserve">net </w:t>
      </w:r>
      <w:r w:rsidR="004B3C4F">
        <w:t>reduction in GHG emissions.</w:t>
      </w:r>
    </w:p>
    <w:p w14:paraId="5A5315C2" w14:textId="77777777" w:rsidR="00A14E68" w:rsidRDefault="00A14E68"/>
    <w:p w14:paraId="1EFE4F44" w14:textId="7A5007FA" w:rsidR="00A14E68" w:rsidRPr="00AD4D9F" w:rsidRDefault="00D047C1">
      <w:pPr>
        <w:rPr>
          <w:b/>
          <w:bCs/>
        </w:rPr>
      </w:pPr>
      <w:r w:rsidRPr="00AD4D9F">
        <w:rPr>
          <w:b/>
          <w:bCs/>
        </w:rPr>
        <w:t xml:space="preserve">The </w:t>
      </w:r>
      <w:r w:rsidR="00A14E68" w:rsidRPr="00AD4D9F">
        <w:rPr>
          <w:b/>
          <w:bCs/>
        </w:rPr>
        <w:t>Markets</w:t>
      </w:r>
    </w:p>
    <w:p w14:paraId="4017E5E9" w14:textId="2EDBF1AF" w:rsidR="00636B47" w:rsidRDefault="00A31963" w:rsidP="00636B47">
      <w:pPr>
        <w:pStyle w:val="Footer"/>
      </w:pPr>
      <w:r>
        <w:t>KC seeks to down</w:t>
      </w:r>
      <w:r w:rsidR="00D31D34">
        <w:t xml:space="preserve">play the size of the potential market for the technology, but </w:t>
      </w:r>
      <w:r w:rsidR="00636B47">
        <w:t>Canada’s carbon tax at $40 per metric ton is the highest in the western hemisphere, and it is expected to increase to $170 per ton by 2030.</w:t>
      </w:r>
      <w:r w:rsidR="00636B47">
        <w:rPr>
          <w:rStyle w:val="FootnoteReference"/>
        </w:rPr>
        <w:footnoteReference w:id="1"/>
      </w:r>
      <w:r w:rsidR="00636B47">
        <w:rPr>
          <w:vertAlign w:val="superscript"/>
        </w:rPr>
        <w:t>,</w:t>
      </w:r>
      <w:r w:rsidR="00636B47">
        <w:t xml:space="preserve"> </w:t>
      </w:r>
      <w:r w:rsidR="00636B47">
        <w:rPr>
          <w:rStyle w:val="FootnoteReference"/>
        </w:rPr>
        <w:footnoteReference w:id="2"/>
      </w:r>
      <w:r w:rsidR="00636B47">
        <w:t xml:space="preserve"> This tax will have a significant negative impact on any company that emits carbon </w:t>
      </w:r>
      <w:r w:rsidR="00636B47">
        <w:lastRenderedPageBreak/>
        <w:t>dioxide, and almost every company that consumes p</w:t>
      </w:r>
      <w:r>
        <w:t xml:space="preserve">ower will emit carbon dioxide. </w:t>
      </w:r>
      <w:r w:rsidR="00636B47">
        <w:t xml:space="preserve">This is especially true for </w:t>
      </w:r>
      <w:r w:rsidR="00FA4603">
        <w:t xml:space="preserve">industries requiring </w:t>
      </w:r>
      <w:r w:rsidR="00E5628E">
        <w:t>copious amounts</w:t>
      </w:r>
      <w:r w:rsidR="00FA4603">
        <w:t xml:space="preserve"> of energy such as all indoor growers (not just cannabis growers), data centers, and cry</w:t>
      </w:r>
      <w:r w:rsidR="00E5628E">
        <w:t>p</w:t>
      </w:r>
      <w:r w:rsidR="00FA4603">
        <w:t>to mining operations.</w:t>
      </w:r>
      <w:r w:rsidR="00E5628E">
        <w:t xml:space="preserve"> </w:t>
      </w:r>
      <w:r w:rsidR="00636B47">
        <w:t xml:space="preserve"> </w:t>
      </w:r>
    </w:p>
    <w:p w14:paraId="61FE5A65" w14:textId="77777777" w:rsidR="00636B47" w:rsidRDefault="00636B47" w:rsidP="00636B47">
      <w:pPr>
        <w:pStyle w:val="Footer"/>
      </w:pPr>
    </w:p>
    <w:p w14:paraId="7AB7B1F4" w14:textId="1C89676F" w:rsidR="00C1514B" w:rsidRDefault="00636B47" w:rsidP="00636B47">
      <w:pPr>
        <w:pStyle w:val="Footer"/>
      </w:pPr>
      <w:r>
        <w:t xml:space="preserve">Another </w:t>
      </w:r>
      <w:r w:rsidR="00927C47">
        <w:t>primary market</w:t>
      </w:r>
      <w:r w:rsidR="00C1514B">
        <w:t xml:space="preserve"> fo</w:t>
      </w:r>
      <w:r w:rsidR="00D31D34">
        <w:t>r the SG technology is</w:t>
      </w:r>
      <w:r w:rsidR="00C1514B">
        <w:t xml:space="preserve"> stranded gas wells</w:t>
      </w:r>
      <w:r w:rsidR="00D31D34">
        <w:t xml:space="preserve"> in Canada and the United States</w:t>
      </w:r>
      <w:r w:rsidR="00C1514B">
        <w:t>. There are thousands of stranded gas wells across the United States that are non-producing assets.</w:t>
      </w:r>
      <w:r w:rsidR="00EF4B9A">
        <w:rPr>
          <w:rStyle w:val="FootnoteReference"/>
        </w:rPr>
        <w:footnoteReference w:id="3"/>
      </w:r>
      <w:r w:rsidR="00C1514B">
        <w:t xml:space="preserve"> </w:t>
      </w:r>
      <w:r w:rsidR="00EF4B9A">
        <w:t xml:space="preserve"> </w:t>
      </w:r>
      <w:r w:rsidR="00C1514B">
        <w:t>By utilizing the SG technology</w:t>
      </w:r>
      <w:r w:rsidR="00E5628E">
        <w:t>,</w:t>
      </w:r>
      <w:r w:rsidR="00C1514B">
        <w:t xml:space="preserve"> these stranded wells can be made into distributed clean energy</w:t>
      </w:r>
      <w:r w:rsidR="00A31963">
        <w:t xml:space="preserve"> power centers that produce CO2-</w:t>
      </w:r>
      <w:r w:rsidR="00C1514B">
        <w:t xml:space="preserve">free commodities. </w:t>
      </w:r>
      <w:r w:rsidR="003E0BD3">
        <w:t>It is n</w:t>
      </w:r>
      <w:r w:rsidR="00C1514B">
        <w:t>ot only the technolog</w:t>
      </w:r>
      <w:r w:rsidR="00470EE7">
        <w:t>y’s</w:t>
      </w:r>
      <w:r w:rsidR="00C1514B">
        <w:t xml:space="preserve"> ability to capture carbon that makes </w:t>
      </w:r>
      <w:r w:rsidR="00C34B23">
        <w:t>it</w:t>
      </w:r>
      <w:r w:rsidR="00C1514B">
        <w:t xml:space="preserve"> attractive</w:t>
      </w:r>
      <w:r w:rsidR="003E0BD3">
        <w:t>,</w:t>
      </w:r>
      <w:r w:rsidR="00C1514B">
        <w:t xml:space="preserve"> but </w:t>
      </w:r>
      <w:r w:rsidR="003E0BD3">
        <w:t>also</w:t>
      </w:r>
      <w:r w:rsidR="00E5628E">
        <w:t xml:space="preserve"> </w:t>
      </w:r>
      <w:r w:rsidR="00C1514B">
        <w:t xml:space="preserve">its ability to </w:t>
      </w:r>
      <w:r w:rsidR="003E0BD3">
        <w:t xml:space="preserve">utilize waste heat energy to </w:t>
      </w:r>
      <w:r w:rsidR="00C1514B">
        <w:t>produce various commodities.</w:t>
      </w:r>
      <w:r w:rsidR="003E0BD3">
        <w:t xml:space="preserve"> </w:t>
      </w:r>
    </w:p>
    <w:p w14:paraId="014089C7" w14:textId="77777777" w:rsidR="00927C47" w:rsidRDefault="00927C47" w:rsidP="00A14E68">
      <w:pPr>
        <w:rPr>
          <w:b/>
          <w:bCs/>
        </w:rPr>
      </w:pPr>
    </w:p>
    <w:p w14:paraId="7E7E09D1" w14:textId="77777777" w:rsidR="00D068D5" w:rsidRDefault="00D068D5" w:rsidP="00A14E68">
      <w:pPr>
        <w:rPr>
          <w:b/>
          <w:bCs/>
        </w:rPr>
      </w:pPr>
    </w:p>
    <w:p w14:paraId="5D8E32F6" w14:textId="2A836182" w:rsidR="00A14E68" w:rsidRDefault="00D047C1" w:rsidP="00A14E68">
      <w:pPr>
        <w:rPr>
          <w:b/>
          <w:bCs/>
        </w:rPr>
      </w:pPr>
      <w:r w:rsidRPr="00AD4D9F">
        <w:rPr>
          <w:b/>
          <w:bCs/>
        </w:rPr>
        <w:t xml:space="preserve">The </w:t>
      </w:r>
      <w:r w:rsidR="00A14E68" w:rsidRPr="00AD4D9F">
        <w:rPr>
          <w:b/>
          <w:bCs/>
        </w:rPr>
        <w:t>License</w:t>
      </w:r>
    </w:p>
    <w:p w14:paraId="3345FCC8" w14:textId="64228480" w:rsidR="00A14E68" w:rsidRDefault="00D31D34" w:rsidP="00A14E68">
      <w:r>
        <w:rPr>
          <w:bCs/>
        </w:rPr>
        <w:t xml:space="preserve">The KC report mistakenly implies that there is something unusual about the licensing agreement. This is not correct.  </w:t>
      </w:r>
      <w:r w:rsidR="00A14E68">
        <w:t xml:space="preserve">Most technology license agreements have an upfront fee paid at the closing of the license agreement and a running royalty usually based on a percentage of revenue. </w:t>
      </w:r>
      <w:r w:rsidR="00927C47">
        <w:t>(In ESG’s license with Camber part of the upfront f</w:t>
      </w:r>
      <w:r>
        <w:t xml:space="preserve">ee will be paid in Viking </w:t>
      </w:r>
      <w:r w:rsidR="00A31963">
        <w:t>s</w:t>
      </w:r>
      <w:r>
        <w:t>tock. This furthermore underscores ESG’s belief in the technology</w:t>
      </w:r>
      <w:r w:rsidR="00EF07E7">
        <w:t>)</w:t>
      </w:r>
      <w:r w:rsidR="00A31963">
        <w:t>.</w:t>
      </w:r>
      <w:r w:rsidR="00927C47">
        <w:t xml:space="preserve"> </w:t>
      </w:r>
      <w:r w:rsidR="00A14E68">
        <w:t xml:space="preserve">Higher upfront fees result in lower running royalties, and lower upfront fees result in higher running royalties. A license can have a zero upfront fee and still be very valuable to both the licensee and the licensor. The amounts are a negotiated compromise between the parties. Typically, a higher upfront fee means the licensee is assuming more risk of the technology being successful, and a lower upfront fee and a higher royalty shifts more of the risk to the licensor. </w:t>
      </w:r>
      <w:r w:rsidR="00927C47">
        <w:t>A</w:t>
      </w:r>
      <w:r w:rsidR="00A14E68">
        <w:t xml:space="preserve"> license </w:t>
      </w:r>
      <w:r w:rsidR="00BC0263">
        <w:t>agreement</w:t>
      </w:r>
      <w:r w:rsidR="00927C47">
        <w:t xml:space="preserve"> with an</w:t>
      </w:r>
      <w:r w:rsidR="00A14E68">
        <w:t xml:space="preserve"> upfront fee of $5 million and </w:t>
      </w:r>
      <w:r w:rsidR="00927C47">
        <w:t>a</w:t>
      </w:r>
      <w:r w:rsidR="00A14E68">
        <w:t xml:space="preserve"> running royalty of 15% </w:t>
      </w:r>
      <w:r w:rsidR="00927C47">
        <w:t>reflects the risk each party is</w:t>
      </w:r>
      <w:r w:rsidR="00A14E68">
        <w:t xml:space="preserve"> willing to take. The structure of the deal does not determine its economic benefit.</w:t>
      </w:r>
    </w:p>
    <w:p w14:paraId="7AA14D70" w14:textId="558DF066" w:rsidR="00B253F7" w:rsidRDefault="00927C47">
      <w:r>
        <w:t>A</w:t>
      </w:r>
      <w:r w:rsidR="0021425E">
        <w:t xml:space="preserve"> licensee is </w:t>
      </w:r>
      <w:r w:rsidR="00B253F7">
        <w:t xml:space="preserve">paying for the </w:t>
      </w:r>
      <w:r w:rsidR="00894500">
        <w:t xml:space="preserve">exclusive </w:t>
      </w:r>
      <w:r w:rsidR="00B253F7">
        <w:t>right to make</w:t>
      </w:r>
      <w:r w:rsidR="00FA52A6">
        <w:t>,</w:t>
      </w:r>
      <w:r w:rsidR="00B253F7">
        <w:t xml:space="preserve"> use</w:t>
      </w:r>
      <w:r w:rsidR="00FA52A6">
        <w:t>,</w:t>
      </w:r>
      <w:r w:rsidR="00B253F7">
        <w:t xml:space="preserve"> or sell the technology</w:t>
      </w:r>
      <w:r w:rsidR="00894500">
        <w:t xml:space="preserve"> </w:t>
      </w:r>
      <w:r>
        <w:t xml:space="preserve">in a particular geographic area or market. </w:t>
      </w:r>
      <w:r w:rsidR="00B253F7">
        <w:t xml:space="preserve"> </w:t>
      </w:r>
      <w:r>
        <w:t>Here, the licensee</w:t>
      </w:r>
      <w:r w:rsidR="00B253F7">
        <w:t xml:space="preserve"> </w:t>
      </w:r>
      <w:r>
        <w:t>is</w:t>
      </w:r>
      <w:r w:rsidR="00B253F7">
        <w:t xml:space="preserve"> paying to receive a legal monopoly in the power generation field</w:t>
      </w:r>
      <w:r w:rsidR="00894500">
        <w:t xml:space="preserve"> for a technology that will </w:t>
      </w:r>
      <w:r w:rsidR="0075067D">
        <w:t xml:space="preserve">potentially </w:t>
      </w:r>
      <w:r w:rsidR="00894500">
        <w:t>give them a significant advantage over every other competitor</w:t>
      </w:r>
      <w:r w:rsidR="00B253F7">
        <w:t>.</w:t>
      </w:r>
      <w:r w:rsidR="00894500">
        <w:t xml:space="preserve"> The exclusive use of the technology enables </w:t>
      </w:r>
      <w:r w:rsidR="0021425E">
        <w:t>the licensee</w:t>
      </w:r>
      <w:r w:rsidR="00894500">
        <w:t xml:space="preserve"> to charge more for its products and services. It enables them to grow market share and to expand into new markets</w:t>
      </w:r>
      <w:r w:rsidR="00B82CC8">
        <w:t>, and</w:t>
      </w:r>
      <w:r w:rsidR="00894500">
        <w:t xml:space="preserve"> it enables them to take advantage of a market created by government regulations and taxes. </w:t>
      </w:r>
      <w:r w:rsidR="00B4139F">
        <w:t>In addition, the license includes any additional or new technology th</w:t>
      </w:r>
      <w:r>
        <w:t>at is developed by the licensor</w:t>
      </w:r>
      <w:r w:rsidR="00B4139F">
        <w:t xml:space="preserve"> such as compressed air energy storage, hydrogen</w:t>
      </w:r>
      <w:r w:rsidR="0021425E">
        <w:t>-</w:t>
      </w:r>
      <w:r w:rsidR="00B4139F">
        <w:t xml:space="preserve">based CO2 </w:t>
      </w:r>
      <w:r>
        <w:t xml:space="preserve">recycling systems, and others. </w:t>
      </w:r>
    </w:p>
    <w:sectPr w:rsidR="00B253F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A150" w14:textId="77777777" w:rsidR="001C464F" w:rsidRDefault="001C464F" w:rsidP="009F1D64">
      <w:pPr>
        <w:spacing w:after="0" w:line="240" w:lineRule="auto"/>
      </w:pPr>
      <w:r>
        <w:separator/>
      </w:r>
    </w:p>
  </w:endnote>
  <w:endnote w:type="continuationSeparator" w:id="0">
    <w:p w14:paraId="3C9A9EFB" w14:textId="77777777" w:rsidR="001C464F" w:rsidRDefault="001C464F" w:rsidP="009F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0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3F678" w14:textId="66FE937A" w:rsidR="00B45273" w:rsidRDefault="00B452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F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97C6AF" w14:textId="77777777" w:rsidR="00CB00E7" w:rsidRDefault="00CB0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8D5E" w14:textId="77777777" w:rsidR="001C464F" w:rsidRDefault="001C464F" w:rsidP="009F1D64">
      <w:pPr>
        <w:spacing w:after="0" w:line="240" w:lineRule="auto"/>
      </w:pPr>
      <w:r>
        <w:separator/>
      </w:r>
    </w:p>
  </w:footnote>
  <w:footnote w:type="continuationSeparator" w:id="0">
    <w:p w14:paraId="089BD0B5" w14:textId="77777777" w:rsidR="001C464F" w:rsidRDefault="001C464F" w:rsidP="009F1D64">
      <w:pPr>
        <w:spacing w:after="0" w:line="240" w:lineRule="auto"/>
      </w:pPr>
      <w:r>
        <w:continuationSeparator/>
      </w:r>
    </w:p>
  </w:footnote>
  <w:footnote w:id="1">
    <w:p w14:paraId="2EA13DF0" w14:textId="77777777" w:rsidR="00636B47" w:rsidRDefault="00636B47" w:rsidP="00636B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657DA">
        <w:rPr>
          <w:rFonts w:cstheme="minorHAnsi"/>
          <w:color w:val="201F1E"/>
          <w:sz w:val="16"/>
          <w:szCs w:val="16"/>
          <w:shd w:val="clear" w:color="auto" w:fill="FFFFFF"/>
        </w:rPr>
        <w:t>https://www.futurelearn.com/info/futurelearn-international/canada-carbon-tax</w:t>
      </w:r>
    </w:p>
  </w:footnote>
  <w:footnote w:id="2">
    <w:p w14:paraId="7AD1E39F" w14:textId="77777777" w:rsidR="00636B47" w:rsidRDefault="00636B47" w:rsidP="00636B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657DA">
        <w:rPr>
          <w:sz w:val="16"/>
        </w:rPr>
        <w:t>https://www.statista.com/statistics/483590/prices-of-implemented-carbon-pricing-instruments-worldwide-by-select-country/</w:t>
      </w:r>
    </w:p>
  </w:footnote>
  <w:footnote w:id="3">
    <w:p w14:paraId="55132516" w14:textId="77777777" w:rsidR="00EF4B9A" w:rsidRPr="00EF4B9A" w:rsidRDefault="00EF4B9A" w:rsidP="00EF4B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F4B9A">
        <w:rPr>
          <w:rFonts w:ascii="Times New Roman" w:eastAsia="Times New Roman" w:hAnsi="Times New Roman" w:cs="Times New Roman"/>
          <w:sz w:val="16"/>
          <w:szCs w:val="16"/>
        </w:rPr>
        <w:t>https://netl.doe.gov/sites/default/files/2020-12/Stranded-Natural-Gas-Roadmap-04142020.pdf</w:t>
      </w:r>
    </w:p>
    <w:p w14:paraId="06999B3B" w14:textId="5E497FAC" w:rsidR="00EF4B9A" w:rsidRDefault="00EF4B9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379"/>
    <w:multiLevelType w:val="hybridMultilevel"/>
    <w:tmpl w:val="EEF8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4530"/>
    <w:multiLevelType w:val="hybridMultilevel"/>
    <w:tmpl w:val="1604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E04D3"/>
    <w:multiLevelType w:val="hybridMultilevel"/>
    <w:tmpl w:val="7046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857C7"/>
    <w:multiLevelType w:val="hybridMultilevel"/>
    <w:tmpl w:val="8568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16"/>
    <w:rsid w:val="000040DA"/>
    <w:rsid w:val="00013EB0"/>
    <w:rsid w:val="00017296"/>
    <w:rsid w:val="0002002A"/>
    <w:rsid w:val="00051060"/>
    <w:rsid w:val="00052A0A"/>
    <w:rsid w:val="00070225"/>
    <w:rsid w:val="00071815"/>
    <w:rsid w:val="00077348"/>
    <w:rsid w:val="000836FF"/>
    <w:rsid w:val="0009403B"/>
    <w:rsid w:val="000951FE"/>
    <w:rsid w:val="000960EC"/>
    <w:rsid w:val="000A1DD7"/>
    <w:rsid w:val="000B0D08"/>
    <w:rsid w:val="000B2B06"/>
    <w:rsid w:val="000B51E3"/>
    <w:rsid w:val="000B7B8E"/>
    <w:rsid w:val="000E186C"/>
    <w:rsid w:val="000F4539"/>
    <w:rsid w:val="00114078"/>
    <w:rsid w:val="001205A5"/>
    <w:rsid w:val="0013366A"/>
    <w:rsid w:val="00140E86"/>
    <w:rsid w:val="00144D4E"/>
    <w:rsid w:val="00160195"/>
    <w:rsid w:val="001767F5"/>
    <w:rsid w:val="0018439D"/>
    <w:rsid w:val="00193EB8"/>
    <w:rsid w:val="001A18CB"/>
    <w:rsid w:val="001A706D"/>
    <w:rsid w:val="001B3AB7"/>
    <w:rsid w:val="001B4B43"/>
    <w:rsid w:val="001B71C9"/>
    <w:rsid w:val="001C464F"/>
    <w:rsid w:val="001E26B7"/>
    <w:rsid w:val="001E5079"/>
    <w:rsid w:val="001F27B3"/>
    <w:rsid w:val="0021065F"/>
    <w:rsid w:val="0021425E"/>
    <w:rsid w:val="0021469A"/>
    <w:rsid w:val="00222645"/>
    <w:rsid w:val="002229F0"/>
    <w:rsid w:val="0023498C"/>
    <w:rsid w:val="0026420E"/>
    <w:rsid w:val="002703AC"/>
    <w:rsid w:val="00271555"/>
    <w:rsid w:val="00273061"/>
    <w:rsid w:val="002742E9"/>
    <w:rsid w:val="00280A9E"/>
    <w:rsid w:val="00290A16"/>
    <w:rsid w:val="0029425A"/>
    <w:rsid w:val="00295466"/>
    <w:rsid w:val="002A0BAF"/>
    <w:rsid w:val="002A19A6"/>
    <w:rsid w:val="002A41C4"/>
    <w:rsid w:val="002B741C"/>
    <w:rsid w:val="002D3967"/>
    <w:rsid w:val="002D46B1"/>
    <w:rsid w:val="002D65E4"/>
    <w:rsid w:val="002E2D07"/>
    <w:rsid w:val="002F6203"/>
    <w:rsid w:val="0030731F"/>
    <w:rsid w:val="00321767"/>
    <w:rsid w:val="00330093"/>
    <w:rsid w:val="003341B6"/>
    <w:rsid w:val="003357F8"/>
    <w:rsid w:val="003416D3"/>
    <w:rsid w:val="00344AA9"/>
    <w:rsid w:val="00350D00"/>
    <w:rsid w:val="00357047"/>
    <w:rsid w:val="003601DF"/>
    <w:rsid w:val="003662E6"/>
    <w:rsid w:val="003811F7"/>
    <w:rsid w:val="00381987"/>
    <w:rsid w:val="003834C7"/>
    <w:rsid w:val="003900B6"/>
    <w:rsid w:val="00396CB7"/>
    <w:rsid w:val="003C0A8A"/>
    <w:rsid w:val="003E0BD3"/>
    <w:rsid w:val="003E3833"/>
    <w:rsid w:val="003E3ABF"/>
    <w:rsid w:val="003E78D8"/>
    <w:rsid w:val="003F0754"/>
    <w:rsid w:val="003F07DE"/>
    <w:rsid w:val="004031CE"/>
    <w:rsid w:val="0040353E"/>
    <w:rsid w:val="00410920"/>
    <w:rsid w:val="00415DC6"/>
    <w:rsid w:val="004212D4"/>
    <w:rsid w:val="00430DB3"/>
    <w:rsid w:val="0043183B"/>
    <w:rsid w:val="00433098"/>
    <w:rsid w:val="00440BC0"/>
    <w:rsid w:val="004530C6"/>
    <w:rsid w:val="00456C27"/>
    <w:rsid w:val="00464488"/>
    <w:rsid w:val="00470EE7"/>
    <w:rsid w:val="004878C3"/>
    <w:rsid w:val="00497C05"/>
    <w:rsid w:val="004A4AE5"/>
    <w:rsid w:val="004B3C4F"/>
    <w:rsid w:val="004C4301"/>
    <w:rsid w:val="004D32EC"/>
    <w:rsid w:val="004D4D65"/>
    <w:rsid w:val="004E54D8"/>
    <w:rsid w:val="004E5958"/>
    <w:rsid w:val="005018B8"/>
    <w:rsid w:val="005026FF"/>
    <w:rsid w:val="005040A9"/>
    <w:rsid w:val="00505BB4"/>
    <w:rsid w:val="005179AC"/>
    <w:rsid w:val="00520474"/>
    <w:rsid w:val="00523CA9"/>
    <w:rsid w:val="00536398"/>
    <w:rsid w:val="00537518"/>
    <w:rsid w:val="005472C9"/>
    <w:rsid w:val="005655F4"/>
    <w:rsid w:val="00581BA9"/>
    <w:rsid w:val="00587D01"/>
    <w:rsid w:val="00591CFF"/>
    <w:rsid w:val="00592BA2"/>
    <w:rsid w:val="00592BCA"/>
    <w:rsid w:val="0059463E"/>
    <w:rsid w:val="005A296C"/>
    <w:rsid w:val="005A4E7B"/>
    <w:rsid w:val="005B033C"/>
    <w:rsid w:val="005D2A9D"/>
    <w:rsid w:val="005D6D90"/>
    <w:rsid w:val="005E2B62"/>
    <w:rsid w:val="005E37FA"/>
    <w:rsid w:val="005E7632"/>
    <w:rsid w:val="0060726D"/>
    <w:rsid w:val="006150B4"/>
    <w:rsid w:val="00620DA2"/>
    <w:rsid w:val="006358AE"/>
    <w:rsid w:val="00636B47"/>
    <w:rsid w:val="00661C9D"/>
    <w:rsid w:val="00662E8A"/>
    <w:rsid w:val="00666F8F"/>
    <w:rsid w:val="00670330"/>
    <w:rsid w:val="00685807"/>
    <w:rsid w:val="006871B3"/>
    <w:rsid w:val="00691FA3"/>
    <w:rsid w:val="006942CA"/>
    <w:rsid w:val="006A0FE0"/>
    <w:rsid w:val="006A2CFC"/>
    <w:rsid w:val="006A67C6"/>
    <w:rsid w:val="006B2CBE"/>
    <w:rsid w:val="006C3680"/>
    <w:rsid w:val="006C4C48"/>
    <w:rsid w:val="006C5AA7"/>
    <w:rsid w:val="006C7D5D"/>
    <w:rsid w:val="006D42E5"/>
    <w:rsid w:val="006D50B4"/>
    <w:rsid w:val="006D6083"/>
    <w:rsid w:val="006E347D"/>
    <w:rsid w:val="006E539D"/>
    <w:rsid w:val="00704C06"/>
    <w:rsid w:val="007057F3"/>
    <w:rsid w:val="007071E6"/>
    <w:rsid w:val="00714F60"/>
    <w:rsid w:val="00715EE1"/>
    <w:rsid w:val="00717C77"/>
    <w:rsid w:val="007234D0"/>
    <w:rsid w:val="00731D8E"/>
    <w:rsid w:val="00746468"/>
    <w:rsid w:val="0075067D"/>
    <w:rsid w:val="00751668"/>
    <w:rsid w:val="00752B35"/>
    <w:rsid w:val="007572B2"/>
    <w:rsid w:val="007657DA"/>
    <w:rsid w:val="0076648D"/>
    <w:rsid w:val="0077769F"/>
    <w:rsid w:val="00797B8E"/>
    <w:rsid w:val="007A3C88"/>
    <w:rsid w:val="007B5B1B"/>
    <w:rsid w:val="007B7E02"/>
    <w:rsid w:val="007C216A"/>
    <w:rsid w:val="007D5E50"/>
    <w:rsid w:val="007E01B4"/>
    <w:rsid w:val="007F3F69"/>
    <w:rsid w:val="00805266"/>
    <w:rsid w:val="00814903"/>
    <w:rsid w:val="00815948"/>
    <w:rsid w:val="00817DB2"/>
    <w:rsid w:val="00831520"/>
    <w:rsid w:val="00832F20"/>
    <w:rsid w:val="00833893"/>
    <w:rsid w:val="00833C2F"/>
    <w:rsid w:val="00836FF9"/>
    <w:rsid w:val="008433CB"/>
    <w:rsid w:val="00843D04"/>
    <w:rsid w:val="00847FC1"/>
    <w:rsid w:val="00850DA3"/>
    <w:rsid w:val="008527FE"/>
    <w:rsid w:val="0085335D"/>
    <w:rsid w:val="008620F0"/>
    <w:rsid w:val="0087367F"/>
    <w:rsid w:val="00890C28"/>
    <w:rsid w:val="00894500"/>
    <w:rsid w:val="008A0E2B"/>
    <w:rsid w:val="008A26F3"/>
    <w:rsid w:val="008B5FBB"/>
    <w:rsid w:val="008B606D"/>
    <w:rsid w:val="008C2048"/>
    <w:rsid w:val="008E3742"/>
    <w:rsid w:val="008F43BF"/>
    <w:rsid w:val="009029D1"/>
    <w:rsid w:val="00913619"/>
    <w:rsid w:val="00917D7E"/>
    <w:rsid w:val="00925CAE"/>
    <w:rsid w:val="00927C47"/>
    <w:rsid w:val="0093264A"/>
    <w:rsid w:val="00943714"/>
    <w:rsid w:val="00947307"/>
    <w:rsid w:val="009553AB"/>
    <w:rsid w:val="00961418"/>
    <w:rsid w:val="009615F7"/>
    <w:rsid w:val="009668FA"/>
    <w:rsid w:val="009673A4"/>
    <w:rsid w:val="0097129A"/>
    <w:rsid w:val="00976448"/>
    <w:rsid w:val="00977869"/>
    <w:rsid w:val="00981404"/>
    <w:rsid w:val="0098431B"/>
    <w:rsid w:val="00996C6A"/>
    <w:rsid w:val="00997831"/>
    <w:rsid w:val="00997F03"/>
    <w:rsid w:val="009A27BA"/>
    <w:rsid w:val="009A724F"/>
    <w:rsid w:val="009B0F18"/>
    <w:rsid w:val="009C6F1C"/>
    <w:rsid w:val="009E0A5C"/>
    <w:rsid w:val="009E5C8D"/>
    <w:rsid w:val="009E685C"/>
    <w:rsid w:val="009F1D64"/>
    <w:rsid w:val="009F37AA"/>
    <w:rsid w:val="00A01B9E"/>
    <w:rsid w:val="00A12273"/>
    <w:rsid w:val="00A14E68"/>
    <w:rsid w:val="00A31963"/>
    <w:rsid w:val="00A334AF"/>
    <w:rsid w:val="00A406F6"/>
    <w:rsid w:val="00A44BA9"/>
    <w:rsid w:val="00A507F3"/>
    <w:rsid w:val="00A52B9C"/>
    <w:rsid w:val="00A5431D"/>
    <w:rsid w:val="00A564EC"/>
    <w:rsid w:val="00A651D3"/>
    <w:rsid w:val="00A66B96"/>
    <w:rsid w:val="00A72828"/>
    <w:rsid w:val="00A728AF"/>
    <w:rsid w:val="00A72B13"/>
    <w:rsid w:val="00A76A78"/>
    <w:rsid w:val="00A833A4"/>
    <w:rsid w:val="00A8528F"/>
    <w:rsid w:val="00A97633"/>
    <w:rsid w:val="00AB5E12"/>
    <w:rsid w:val="00AC1BFC"/>
    <w:rsid w:val="00AD109B"/>
    <w:rsid w:val="00AD4D9F"/>
    <w:rsid w:val="00AE052D"/>
    <w:rsid w:val="00AE1229"/>
    <w:rsid w:val="00B219FE"/>
    <w:rsid w:val="00B23C53"/>
    <w:rsid w:val="00B253F7"/>
    <w:rsid w:val="00B25A7A"/>
    <w:rsid w:val="00B25E6D"/>
    <w:rsid w:val="00B3496B"/>
    <w:rsid w:val="00B4139F"/>
    <w:rsid w:val="00B42359"/>
    <w:rsid w:val="00B45273"/>
    <w:rsid w:val="00B50772"/>
    <w:rsid w:val="00B82CC8"/>
    <w:rsid w:val="00B86055"/>
    <w:rsid w:val="00BA6DED"/>
    <w:rsid w:val="00BB6BD2"/>
    <w:rsid w:val="00BC0263"/>
    <w:rsid w:val="00BC43A2"/>
    <w:rsid w:val="00BD4416"/>
    <w:rsid w:val="00BD6276"/>
    <w:rsid w:val="00BD6B4A"/>
    <w:rsid w:val="00BE3012"/>
    <w:rsid w:val="00BF09E0"/>
    <w:rsid w:val="00C074AC"/>
    <w:rsid w:val="00C120F5"/>
    <w:rsid w:val="00C1514B"/>
    <w:rsid w:val="00C15A25"/>
    <w:rsid w:val="00C21629"/>
    <w:rsid w:val="00C220D6"/>
    <w:rsid w:val="00C22A1D"/>
    <w:rsid w:val="00C22FE6"/>
    <w:rsid w:val="00C23A43"/>
    <w:rsid w:val="00C34B23"/>
    <w:rsid w:val="00C34B30"/>
    <w:rsid w:val="00C354A5"/>
    <w:rsid w:val="00C578F1"/>
    <w:rsid w:val="00C66CBD"/>
    <w:rsid w:val="00C71343"/>
    <w:rsid w:val="00C73462"/>
    <w:rsid w:val="00C75D3B"/>
    <w:rsid w:val="00C8743C"/>
    <w:rsid w:val="00C87CB7"/>
    <w:rsid w:val="00C91687"/>
    <w:rsid w:val="00CB00E7"/>
    <w:rsid w:val="00CD0998"/>
    <w:rsid w:val="00CD593B"/>
    <w:rsid w:val="00CD6874"/>
    <w:rsid w:val="00CD7790"/>
    <w:rsid w:val="00CE1CA4"/>
    <w:rsid w:val="00CE5381"/>
    <w:rsid w:val="00CF2480"/>
    <w:rsid w:val="00CF3E5C"/>
    <w:rsid w:val="00CF7ECB"/>
    <w:rsid w:val="00D005CB"/>
    <w:rsid w:val="00D00E0E"/>
    <w:rsid w:val="00D047C1"/>
    <w:rsid w:val="00D05848"/>
    <w:rsid w:val="00D068D5"/>
    <w:rsid w:val="00D25283"/>
    <w:rsid w:val="00D270FA"/>
    <w:rsid w:val="00D31D34"/>
    <w:rsid w:val="00D4247F"/>
    <w:rsid w:val="00D5643A"/>
    <w:rsid w:val="00D6548B"/>
    <w:rsid w:val="00D72E37"/>
    <w:rsid w:val="00D73376"/>
    <w:rsid w:val="00D7413A"/>
    <w:rsid w:val="00D850D1"/>
    <w:rsid w:val="00D93258"/>
    <w:rsid w:val="00DA6CED"/>
    <w:rsid w:val="00DA7E16"/>
    <w:rsid w:val="00DB00D0"/>
    <w:rsid w:val="00DC3EC7"/>
    <w:rsid w:val="00DD6CDF"/>
    <w:rsid w:val="00DE43CA"/>
    <w:rsid w:val="00DE47A4"/>
    <w:rsid w:val="00DF1D3F"/>
    <w:rsid w:val="00E12FA7"/>
    <w:rsid w:val="00E13B39"/>
    <w:rsid w:val="00E22E49"/>
    <w:rsid w:val="00E2346F"/>
    <w:rsid w:val="00E41B9E"/>
    <w:rsid w:val="00E453C1"/>
    <w:rsid w:val="00E5628E"/>
    <w:rsid w:val="00E6509F"/>
    <w:rsid w:val="00E73CEB"/>
    <w:rsid w:val="00E74227"/>
    <w:rsid w:val="00E751E7"/>
    <w:rsid w:val="00E832C6"/>
    <w:rsid w:val="00E837AB"/>
    <w:rsid w:val="00E84F50"/>
    <w:rsid w:val="00E97290"/>
    <w:rsid w:val="00EA1E93"/>
    <w:rsid w:val="00EB2A09"/>
    <w:rsid w:val="00EC7281"/>
    <w:rsid w:val="00ED1678"/>
    <w:rsid w:val="00EE0B59"/>
    <w:rsid w:val="00EE22EC"/>
    <w:rsid w:val="00EE4017"/>
    <w:rsid w:val="00EE780B"/>
    <w:rsid w:val="00EF07E7"/>
    <w:rsid w:val="00EF4B9A"/>
    <w:rsid w:val="00F0771B"/>
    <w:rsid w:val="00F136B2"/>
    <w:rsid w:val="00F441F5"/>
    <w:rsid w:val="00F52C15"/>
    <w:rsid w:val="00F5328C"/>
    <w:rsid w:val="00F608EF"/>
    <w:rsid w:val="00F630BF"/>
    <w:rsid w:val="00F70E73"/>
    <w:rsid w:val="00F728F8"/>
    <w:rsid w:val="00F80F6A"/>
    <w:rsid w:val="00F84408"/>
    <w:rsid w:val="00F8533C"/>
    <w:rsid w:val="00F91E72"/>
    <w:rsid w:val="00FA4603"/>
    <w:rsid w:val="00FA52A6"/>
    <w:rsid w:val="00FB056E"/>
    <w:rsid w:val="00FB0D96"/>
    <w:rsid w:val="00FB4A02"/>
    <w:rsid w:val="00FB4AF5"/>
    <w:rsid w:val="00FC66FF"/>
    <w:rsid w:val="00FD076D"/>
    <w:rsid w:val="00FD09C3"/>
    <w:rsid w:val="00FD50BC"/>
    <w:rsid w:val="00F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8EB76"/>
  <w15:chartTrackingRefBased/>
  <w15:docId w15:val="{55778753-27AC-4ED5-A326-6A0F3FA5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D64"/>
  </w:style>
  <w:style w:type="paragraph" w:styleId="Footer">
    <w:name w:val="footer"/>
    <w:basedOn w:val="Normal"/>
    <w:link w:val="FooterChar"/>
    <w:uiPriority w:val="99"/>
    <w:unhideWhenUsed/>
    <w:rsid w:val="009F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D64"/>
  </w:style>
  <w:style w:type="paragraph" w:styleId="ListParagraph">
    <w:name w:val="List Paragraph"/>
    <w:basedOn w:val="Normal"/>
    <w:uiPriority w:val="34"/>
    <w:qFormat/>
    <w:rsid w:val="0099783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E30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0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301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6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4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9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cuderigrouprespons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12BAE-F8D5-4E41-B01F-B77535BD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Scuderi</dc:creator>
  <cp:keywords/>
  <dc:description/>
  <cp:lastModifiedBy>Bill Wrinn</cp:lastModifiedBy>
  <cp:revision>3</cp:revision>
  <cp:lastPrinted>2021-11-16T15:50:00Z</cp:lastPrinted>
  <dcterms:created xsi:type="dcterms:W3CDTF">2021-11-16T17:25:00Z</dcterms:created>
  <dcterms:modified xsi:type="dcterms:W3CDTF">2021-11-16T17:27:00Z</dcterms:modified>
</cp:coreProperties>
</file>