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5FD1" w14:textId="3B2CFF94" w:rsidR="00856AC7" w:rsidRPr="009F525D" w:rsidRDefault="005D1582" w:rsidP="00964F74">
      <w:pPr>
        <w:pStyle w:val="NormalWeb"/>
        <w:jc w:val="both"/>
        <w:rPr>
          <w:rFonts w:ascii="Aptos" w:hAnsi="Aptos" w:cs="Segoe UI"/>
          <w:color w:val="BF4E14" w:themeColor="accent2" w:themeShade="BF"/>
          <w:sz w:val="20"/>
          <w:szCs w:val="20"/>
          <w:lang w:val="nl-BE"/>
        </w:rPr>
      </w:pPr>
      <w:r w:rsidRPr="009F525D">
        <w:rPr>
          <w:rFonts w:ascii="Aptos" w:hAnsi="Aptos" w:cs="Segoe U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D086B05" wp14:editId="46B80A36">
            <wp:simplePos x="0" y="0"/>
            <wp:positionH relativeFrom="margin">
              <wp:posOffset>1331926</wp:posOffset>
            </wp:positionH>
            <wp:positionV relativeFrom="paragraph">
              <wp:posOffset>-203835</wp:posOffset>
            </wp:positionV>
            <wp:extent cx="3606800" cy="856615"/>
            <wp:effectExtent l="0" t="0" r="0" b="0"/>
            <wp:wrapNone/>
            <wp:docPr id="11" name="Picture 10" descr="Une image contenant Police, conception, typographi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3250CAA7-A1AF-6685-5F39-8F2C6E3005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Une image contenant Police, conception, typographi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3250CAA7-A1AF-6685-5F39-8F2C6E3005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25D" w:rsidRPr="009F525D">
        <w:rPr>
          <w:rFonts w:ascii="Aptos" w:hAnsi="Aptos" w:cs="Segoe UI"/>
          <w:noProof/>
          <w:color w:val="000000"/>
          <w:sz w:val="20"/>
          <w:szCs w:val="20"/>
          <w:lang w:val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D3632" wp14:editId="4855976C">
                <wp:simplePos x="0" y="0"/>
                <wp:positionH relativeFrom="column">
                  <wp:posOffset>1942769</wp:posOffset>
                </wp:positionH>
                <wp:positionV relativeFrom="paragraph">
                  <wp:posOffset>304800</wp:posOffset>
                </wp:positionV>
                <wp:extent cx="3545840" cy="5486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CBA9" w14:textId="6E070A18" w:rsidR="00856AC7" w:rsidRPr="009F525D" w:rsidRDefault="00856AC7" w:rsidP="007B391D">
                            <w:pPr>
                              <w:pStyle w:val="NormalWeb"/>
                              <w:spacing w:after="0" w:afterAutospacing="0"/>
                              <w:jc w:val="center"/>
                              <w:rPr>
                                <w:rFonts w:ascii="Trebuchet MS" w:hAnsi="Trebuchet MS" w:cs="Calibri"/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22"/>
                                <w:szCs w:val="22"/>
                                <w:lang w:val="nl-BE"/>
                              </w:rPr>
                            </w:pPr>
                            <w:r w:rsidRPr="009F525D">
                              <w:rPr>
                                <w:rFonts w:ascii="Trebuchet MS" w:hAnsi="Trebuchet MS" w:cs="Calibri"/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22"/>
                                <w:szCs w:val="22"/>
                                <w:lang w:val="nl-BE"/>
                              </w:rPr>
                              <w:t>Changing the game of the biotherapeutics market</w:t>
                            </w:r>
                          </w:p>
                          <w:p w14:paraId="6F939E9C" w14:textId="4F366EF4" w:rsidR="00856AC7" w:rsidRPr="009F525D" w:rsidRDefault="00856AC7">
                            <w:pPr>
                              <w:rPr>
                                <w:sz w:val="32"/>
                                <w:szCs w:val="32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D36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2.95pt;margin-top:24pt;width:279.2pt;height:4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" filled="f" stroked="f">
                <v:textbox>
                  <w:txbxContent>
                    <w:p w14:paraId="1874CBA9" w14:textId="6E070A18" w:rsidR="00856AC7" w:rsidRPr="009F525D" w:rsidRDefault="00856AC7" w:rsidP="007B391D">
                      <w:pPr>
                        <w:pStyle w:val="NormalWeb"/>
                        <w:spacing w:after="0" w:afterAutospacing="0"/>
                        <w:jc w:val="center"/>
                        <w:rPr>
                          <w:rFonts w:ascii="Trebuchet MS" w:hAnsi="Trebuchet MS" w:cs="Calibri"/>
                          <w:b/>
                          <w:bCs/>
                          <w:i/>
                          <w:iCs/>
                          <w:color w:val="BF4E14" w:themeColor="accent2" w:themeShade="BF"/>
                          <w:sz w:val="22"/>
                          <w:szCs w:val="22"/>
                          <w:lang w:val="nl-BE"/>
                        </w:rPr>
                      </w:pPr>
                      <w:r w:rsidRPr="009F525D">
                        <w:rPr>
                          <w:rFonts w:ascii="Trebuchet MS" w:hAnsi="Trebuchet MS" w:cs="Calibri"/>
                          <w:b/>
                          <w:bCs/>
                          <w:i/>
                          <w:iCs/>
                          <w:color w:val="BF4E14" w:themeColor="accent2" w:themeShade="BF"/>
                          <w:sz w:val="22"/>
                          <w:szCs w:val="22"/>
                          <w:lang w:val="nl-BE"/>
                        </w:rPr>
                        <w:t>Changing the game of the biotherapeutics market</w:t>
                      </w:r>
                    </w:p>
                    <w:p w14:paraId="6F939E9C" w14:textId="4F366EF4" w:rsidR="00856AC7" w:rsidRPr="009F525D" w:rsidRDefault="00856AC7">
                      <w:pPr>
                        <w:rPr>
                          <w:sz w:val="32"/>
                          <w:szCs w:val="32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0A1B7" w14:textId="1D131A00" w:rsidR="001C351A" w:rsidRPr="009F525D" w:rsidRDefault="001C351A" w:rsidP="00964F74">
      <w:pPr>
        <w:pStyle w:val="NormalWeb"/>
        <w:jc w:val="both"/>
        <w:rPr>
          <w:rFonts w:ascii="Aptos" w:hAnsi="Aptos" w:cs="Segoe UI"/>
          <w:b/>
          <w:bCs/>
          <w:color w:val="000000"/>
          <w:sz w:val="22"/>
          <w:szCs w:val="22"/>
          <w:lang w:val="nl-BE"/>
        </w:rPr>
      </w:pPr>
    </w:p>
    <w:p w14:paraId="236119A7" w14:textId="1D307C2E" w:rsidR="00856AC7" w:rsidRPr="00B03DF9" w:rsidRDefault="00856AC7" w:rsidP="00964F74">
      <w:pPr>
        <w:pStyle w:val="NormalWeb"/>
        <w:jc w:val="center"/>
        <w:rPr>
          <w:rStyle w:val="Strong"/>
          <w:rFonts w:ascii="Aptos" w:eastAsiaTheme="majorEastAsia" w:hAnsi="Aptos" w:cs="Segoe UI"/>
          <w:color w:val="000000"/>
          <w:sz w:val="13"/>
          <w:szCs w:val="13"/>
          <w:lang w:val="en-US"/>
        </w:rPr>
      </w:pPr>
    </w:p>
    <w:p w14:paraId="00DFAD99" w14:textId="1F3C3046" w:rsidR="0022655A" w:rsidRPr="009F525D" w:rsidRDefault="009F525D" w:rsidP="009F525D">
      <w:pPr>
        <w:pStyle w:val="NormalWeb"/>
        <w:jc w:val="center"/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</w:pPr>
      <w:r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Expanding the </w:t>
      </w:r>
      <w:r w:rsidR="00BB5FA6"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>human biotherapeutics market</w:t>
      </w:r>
      <w:r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 </w:t>
      </w:r>
      <w:r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 </w:t>
      </w:r>
      <w:r w:rsidR="00E845CB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                                                                               </w:t>
      </w:r>
      <w:r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>by</w:t>
      </w:r>
      <w:r w:rsidR="00BB5FA6"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 </w:t>
      </w:r>
      <w:r w:rsidR="007B391D"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>revolutioniz</w:t>
      </w:r>
      <w:r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>ing</w:t>
      </w:r>
      <w:r w:rsidR="007B391D"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 drug delivery </w:t>
      </w:r>
      <w:r w:rsidR="00D83615"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and </w:t>
      </w:r>
      <w:r w:rsidR="00F47214"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 xml:space="preserve">patient </w:t>
      </w:r>
      <w:r w:rsidR="00D83615" w:rsidRPr="009F525D">
        <w:rPr>
          <w:rFonts w:ascii="Aptos" w:eastAsiaTheme="majorEastAsia" w:hAnsi="Aptos" w:cs="Segoe UI"/>
          <w:b/>
          <w:bCs/>
          <w:color w:val="3A7C22" w:themeColor="accent6" w:themeShade="BF"/>
          <w:sz w:val="28"/>
          <w:szCs w:val="28"/>
          <w:lang w:val="en-US"/>
        </w:rPr>
        <w:t>access</w:t>
      </w:r>
    </w:p>
    <w:p w14:paraId="2A7BE9CC" w14:textId="77777777" w:rsidR="00E845CB" w:rsidRPr="00B03DF9" w:rsidRDefault="009F525D" w:rsidP="00B03DF9">
      <w:pPr>
        <w:snapToGrid w:val="0"/>
        <w:spacing w:beforeLines="80" w:before="192" w:afterLines="80" w:after="192"/>
        <w:jc w:val="both"/>
        <w:rPr>
          <w:sz w:val="21"/>
          <w:szCs w:val="21"/>
          <w:lang w:val="en-US"/>
        </w:rPr>
      </w:pPr>
      <w:r w:rsidRPr="00B03DF9">
        <w:rPr>
          <w:sz w:val="21"/>
          <w:szCs w:val="21"/>
          <w:lang w:val="en-US"/>
        </w:rPr>
        <w:t xml:space="preserve">Bio-Sourcing is reshaping the future of biologics through a disruptive bioproduction platform that enables high-volume, low-cost, and globally scalable manufacturing. </w:t>
      </w:r>
    </w:p>
    <w:p w14:paraId="054A7601" w14:textId="49672241" w:rsidR="009F525D" w:rsidRPr="00B03DF9" w:rsidRDefault="009F525D" w:rsidP="00B03DF9">
      <w:pPr>
        <w:snapToGrid w:val="0"/>
        <w:spacing w:beforeLines="80" w:before="192" w:afterLines="80" w:after="192"/>
        <w:jc w:val="both"/>
        <w:rPr>
          <w:b/>
          <w:bCs/>
          <w:sz w:val="21"/>
          <w:szCs w:val="21"/>
          <w:lang w:val="en-US"/>
        </w:rPr>
      </w:pPr>
      <w:r w:rsidRPr="00B03DF9">
        <w:rPr>
          <w:sz w:val="21"/>
          <w:szCs w:val="21"/>
          <w:lang w:val="en-US"/>
        </w:rPr>
        <w:t>At the core of this platform lies a unique approach: therapeutic monoclonal antibodies are expressed directly in the milk of gene</w:t>
      </w:r>
      <w:r w:rsidRPr="00B03DF9">
        <w:rPr>
          <w:rFonts w:ascii="Cambria Math" w:hAnsi="Cambria Math" w:cs="Cambria Math"/>
          <w:sz w:val="21"/>
          <w:szCs w:val="21"/>
          <w:lang w:val="en-US"/>
        </w:rPr>
        <w:t>‑</w:t>
      </w:r>
      <w:r w:rsidRPr="00B03DF9">
        <w:rPr>
          <w:sz w:val="21"/>
          <w:szCs w:val="21"/>
          <w:lang w:val="en-US"/>
        </w:rPr>
        <w:t xml:space="preserve">edited goats. </w:t>
      </w:r>
      <w:r w:rsidRPr="00B03DF9">
        <w:rPr>
          <w:sz w:val="21"/>
          <w:szCs w:val="21"/>
          <w:lang w:val="nl-BE"/>
        </w:rPr>
        <w:t xml:space="preserve">Using advanced gene editing, cloning and other molecular biology techniques, these animals reliably produce recombinant antibodies at yields reaching grams per liter of milk. </w:t>
      </w:r>
      <w:r w:rsidRPr="00B03DF9">
        <w:rPr>
          <w:b/>
          <w:bCs/>
          <w:sz w:val="21"/>
          <w:szCs w:val="21"/>
          <w:lang w:val="en-US"/>
        </w:rPr>
        <w:t xml:space="preserve">This naturally scalable system drastically lowers capital expenditure and production costs </w:t>
      </w:r>
      <w:r w:rsidR="00E845CB" w:rsidRPr="00B03DF9">
        <w:rPr>
          <w:b/>
          <w:bCs/>
          <w:sz w:val="21"/>
          <w:szCs w:val="21"/>
          <w:lang w:val="en-US"/>
        </w:rPr>
        <w:t xml:space="preserve">compared to the legacy cell culture system, </w:t>
      </w:r>
      <w:r w:rsidRPr="00B03DF9">
        <w:rPr>
          <w:b/>
          <w:bCs/>
          <w:sz w:val="21"/>
          <w:szCs w:val="21"/>
          <w:lang w:val="en-US"/>
        </w:rPr>
        <w:t>while providing a sustainable and continuous supply of complex biotherapeutics.</w:t>
      </w:r>
    </w:p>
    <w:p w14:paraId="54D2A0DA" w14:textId="5815B6DE" w:rsidR="009F525D" w:rsidRPr="00B03DF9" w:rsidRDefault="009F525D" w:rsidP="00B03DF9">
      <w:pPr>
        <w:snapToGrid w:val="0"/>
        <w:spacing w:beforeLines="80" w:before="192" w:afterLines="80" w:after="192"/>
        <w:jc w:val="both"/>
        <w:rPr>
          <w:sz w:val="21"/>
          <w:szCs w:val="21"/>
          <w:lang w:val="en-US"/>
        </w:rPr>
      </w:pPr>
      <w:r w:rsidRPr="00B03DF9">
        <w:rPr>
          <w:sz w:val="21"/>
          <w:szCs w:val="21"/>
          <w:lang w:val="en-US"/>
        </w:rPr>
        <w:t>On top of this massive advantage, antibodies secreted into milk co</w:t>
      </w:r>
      <w:r w:rsidRPr="00B03DF9">
        <w:rPr>
          <w:rFonts w:ascii="Cambria Math" w:hAnsi="Cambria Math" w:cs="Cambria Math"/>
          <w:sz w:val="21"/>
          <w:szCs w:val="21"/>
          <w:lang w:val="en-US"/>
        </w:rPr>
        <w:t>‑</w:t>
      </w:r>
      <w:r w:rsidRPr="00B03DF9">
        <w:rPr>
          <w:sz w:val="21"/>
          <w:szCs w:val="21"/>
          <w:lang w:val="en-US"/>
        </w:rPr>
        <w:t xml:space="preserve">associate with exosomes, which act, when administered orally to a patient, as innate delivery vesicles, protecting the therapeutic molecule from degradation during gastrointestinal transit. This biological association enables a </w:t>
      </w:r>
      <w:r w:rsidRPr="00B03DF9">
        <w:rPr>
          <w:b/>
          <w:bCs/>
          <w:sz w:val="21"/>
          <w:szCs w:val="21"/>
          <w:lang w:val="en-US"/>
        </w:rPr>
        <w:t>breakthrough previously considered impossible: the oral delivery of monoclonal antibodies with systemic bioavailability</w:t>
      </w:r>
      <w:r w:rsidRPr="00B03DF9">
        <w:rPr>
          <w:sz w:val="21"/>
          <w:szCs w:val="21"/>
          <w:lang w:val="en-US"/>
        </w:rPr>
        <w:t>. The result is a transformative pathway toward self</w:t>
      </w:r>
      <w:r w:rsidRPr="00B03DF9">
        <w:rPr>
          <w:rFonts w:ascii="Cambria Math" w:hAnsi="Cambria Math" w:cs="Cambria Math"/>
          <w:sz w:val="21"/>
          <w:szCs w:val="21"/>
          <w:lang w:val="en-US"/>
        </w:rPr>
        <w:t>‑</w:t>
      </w:r>
      <w:r w:rsidRPr="00B03DF9">
        <w:rPr>
          <w:sz w:val="21"/>
          <w:szCs w:val="21"/>
          <w:lang w:val="en-US"/>
        </w:rPr>
        <w:t>administered, comfortable, and accessible treatments for chronic diseases.</w:t>
      </w:r>
    </w:p>
    <w:p w14:paraId="1EBB513B" w14:textId="08D1DB05" w:rsidR="00E845CB" w:rsidRPr="00B03DF9" w:rsidRDefault="009F525D" w:rsidP="00B03DF9">
      <w:pPr>
        <w:snapToGrid w:val="0"/>
        <w:spacing w:beforeLines="80" w:before="192" w:afterLines="80" w:after="192"/>
        <w:jc w:val="both"/>
        <w:rPr>
          <w:sz w:val="21"/>
          <w:szCs w:val="21"/>
          <w:lang w:val="en-US"/>
        </w:rPr>
      </w:pPr>
      <w:r w:rsidRPr="00B03DF9">
        <w:rPr>
          <w:sz w:val="21"/>
          <w:szCs w:val="21"/>
          <w:lang w:val="en-US"/>
        </w:rPr>
        <w:t xml:space="preserve">The platform's performance has already been extensively validated. Bio-Sourcing has successfully generated six monoclonal antibodies using this system, including four for a </w:t>
      </w:r>
      <w:r w:rsidRPr="00B03DF9">
        <w:rPr>
          <w:b/>
          <w:bCs/>
          <w:sz w:val="21"/>
          <w:szCs w:val="21"/>
          <w:lang w:val="en-US"/>
        </w:rPr>
        <w:t>global pharmaceutical partner</w:t>
      </w:r>
      <w:r w:rsidRPr="00B03DF9">
        <w:rPr>
          <w:sz w:val="21"/>
          <w:szCs w:val="21"/>
          <w:lang w:val="en-US"/>
        </w:rPr>
        <w:t xml:space="preserve">, supporting more than a decade of industrial maturation. Its latest molecule, adalimumab, has demonstrated </w:t>
      </w:r>
      <w:r w:rsidRPr="00B03DF9">
        <w:rPr>
          <w:b/>
          <w:bCs/>
          <w:sz w:val="21"/>
          <w:szCs w:val="21"/>
          <w:lang w:val="en-US"/>
        </w:rPr>
        <w:t>preclinical similarity</w:t>
      </w:r>
      <w:r w:rsidRPr="00B03DF9">
        <w:rPr>
          <w:sz w:val="21"/>
          <w:szCs w:val="21"/>
          <w:lang w:val="en-US"/>
        </w:rPr>
        <w:t xml:space="preserve"> to the reference compound, Humira. The program is on track to enter clinical trials within the next twelve months, marking a major inflection point for the company.</w:t>
      </w:r>
    </w:p>
    <w:p w14:paraId="70DFBCB1" w14:textId="5A34800B" w:rsidR="00B03DF9" w:rsidRDefault="00B03DF9" w:rsidP="00B03DF9">
      <w:pPr>
        <w:snapToGrid w:val="0"/>
        <w:spacing w:beforeLines="80" w:before="192" w:afterLines="80" w:after="192"/>
        <w:jc w:val="both"/>
        <w:rPr>
          <w:rFonts w:ascii="Aptos" w:hAnsi="Aptos"/>
          <w:sz w:val="21"/>
          <w:szCs w:val="21"/>
          <w:lang w:val="en-US"/>
        </w:rPr>
      </w:pPr>
      <w:r w:rsidRPr="00B03DF9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42BF0EA" wp14:editId="6AE94416">
            <wp:simplePos x="0" y="0"/>
            <wp:positionH relativeFrom="column">
              <wp:posOffset>1528776</wp:posOffset>
            </wp:positionH>
            <wp:positionV relativeFrom="paragraph">
              <wp:posOffset>648970</wp:posOffset>
            </wp:positionV>
            <wp:extent cx="5002530" cy="2312035"/>
            <wp:effectExtent l="0" t="0" r="1270" b="0"/>
            <wp:wrapSquare wrapText="bothSides"/>
            <wp:docPr id="611561656" name="Image 2" descr="The BioMilk Pla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ioMilk Platfor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25D" w:rsidRPr="00B03DF9">
        <w:rPr>
          <w:sz w:val="21"/>
          <w:szCs w:val="21"/>
          <w:lang w:val="en-US"/>
        </w:rPr>
        <w:t xml:space="preserve">This technological foundation is reinforced by </w:t>
      </w:r>
      <w:r w:rsidR="009F525D" w:rsidRPr="00B03DF9">
        <w:rPr>
          <w:b/>
          <w:bCs/>
          <w:sz w:val="21"/>
          <w:szCs w:val="21"/>
          <w:lang w:val="en-US"/>
        </w:rPr>
        <w:t>a robust intellectual property estate</w:t>
      </w:r>
      <w:r w:rsidR="009F525D" w:rsidRPr="00B03DF9">
        <w:rPr>
          <w:sz w:val="21"/>
          <w:szCs w:val="21"/>
          <w:lang w:val="en-US"/>
        </w:rPr>
        <w:t xml:space="preserve"> protecting each stage of the manufacturing chain—from gene editing and donor</w:t>
      </w:r>
      <w:r w:rsidR="009F525D" w:rsidRPr="00B03DF9">
        <w:rPr>
          <w:rFonts w:ascii="Cambria Math" w:hAnsi="Cambria Math" w:cs="Cambria Math"/>
          <w:sz w:val="21"/>
          <w:szCs w:val="21"/>
          <w:lang w:val="en-US"/>
        </w:rPr>
        <w:t>‑</w:t>
      </w:r>
      <w:r w:rsidR="009F525D" w:rsidRPr="00B03DF9">
        <w:rPr>
          <w:sz w:val="21"/>
          <w:szCs w:val="21"/>
          <w:lang w:val="en-US"/>
        </w:rPr>
        <w:t xml:space="preserve">cell screening to purification methods and oral delivery mechanisms, as well as by </w:t>
      </w:r>
      <w:r w:rsidR="009F525D" w:rsidRPr="00B03DF9">
        <w:rPr>
          <w:b/>
          <w:bCs/>
          <w:sz w:val="21"/>
          <w:szCs w:val="21"/>
          <w:lang w:val="en-US"/>
        </w:rPr>
        <w:t>proprietary know</w:t>
      </w:r>
      <w:r w:rsidR="009F525D" w:rsidRPr="00B03DF9">
        <w:rPr>
          <w:rFonts w:ascii="Cambria Math" w:hAnsi="Cambria Math" w:cs="Cambria Math"/>
          <w:b/>
          <w:bCs/>
          <w:sz w:val="21"/>
          <w:szCs w:val="21"/>
          <w:lang w:val="en-US"/>
        </w:rPr>
        <w:t>‑</w:t>
      </w:r>
      <w:r w:rsidR="009F525D" w:rsidRPr="00B03DF9">
        <w:rPr>
          <w:b/>
          <w:bCs/>
          <w:sz w:val="21"/>
          <w:szCs w:val="21"/>
          <w:lang w:val="en-US"/>
        </w:rPr>
        <w:t>how</w:t>
      </w:r>
      <w:r w:rsidR="009F525D" w:rsidRPr="00B03DF9">
        <w:rPr>
          <w:sz w:val="21"/>
          <w:szCs w:val="21"/>
          <w:lang w:val="en-US"/>
        </w:rPr>
        <w:t xml:space="preserve"> accumulated through more than a decade of industrial partnership with a leading pharmaceutical company.</w:t>
      </w:r>
      <w:r w:rsidR="00E845CB" w:rsidRPr="00B03DF9">
        <w:rPr>
          <w:sz w:val="21"/>
          <w:szCs w:val="21"/>
          <w:lang w:val="en-US"/>
        </w:rPr>
        <w:t xml:space="preserve"> It</w:t>
      </w:r>
      <w:r w:rsidR="00E845CB" w:rsidRPr="00B03DF9">
        <w:rPr>
          <w:rFonts w:ascii="Aptos" w:hAnsi="Aptos"/>
          <w:sz w:val="21"/>
          <w:szCs w:val="21"/>
          <w:lang w:val="en-US"/>
        </w:rPr>
        <w:t xml:space="preserve"> is further supported by a </w:t>
      </w:r>
      <w:r w:rsidR="00E845CB" w:rsidRPr="00B03DF9">
        <w:rPr>
          <w:rFonts w:ascii="Aptos" w:hAnsi="Aptos"/>
          <w:b/>
          <w:bCs/>
          <w:sz w:val="21"/>
          <w:szCs w:val="21"/>
          <w:lang w:val="en-US"/>
        </w:rPr>
        <w:t>highly experienced and deeply specialized team</w:t>
      </w:r>
      <w:r w:rsidR="00E845CB" w:rsidRPr="00B03DF9">
        <w:rPr>
          <w:rFonts w:ascii="Aptos" w:hAnsi="Aptos"/>
          <w:sz w:val="21"/>
          <w:szCs w:val="21"/>
          <w:lang w:val="en-US"/>
        </w:rPr>
        <w:t xml:space="preserve"> whose combined expertise spans genetic engineering,</w:t>
      </w:r>
      <w:r w:rsidR="005059FF">
        <w:rPr>
          <w:rFonts w:ascii="Aptos" w:hAnsi="Aptos"/>
          <w:sz w:val="21"/>
          <w:szCs w:val="21"/>
          <w:lang w:val="en-US"/>
        </w:rPr>
        <w:t xml:space="preserve"> </w:t>
      </w:r>
      <w:r w:rsidR="00250748">
        <w:rPr>
          <w:rFonts w:ascii="Aptos" w:hAnsi="Aptos"/>
          <w:sz w:val="21"/>
          <w:szCs w:val="21"/>
          <w:lang w:val="en-US"/>
        </w:rPr>
        <w:t>bioproduct-</w:t>
      </w:r>
      <w:proofErr w:type="spellStart"/>
      <w:r w:rsidR="005D1582">
        <w:rPr>
          <w:rFonts w:ascii="Aptos" w:hAnsi="Aptos"/>
          <w:sz w:val="21"/>
          <w:szCs w:val="21"/>
          <w:lang w:val="en-US"/>
        </w:rPr>
        <w:t>t</w:t>
      </w:r>
      <w:r w:rsidR="00E845CB" w:rsidRPr="00B03DF9">
        <w:rPr>
          <w:rFonts w:ascii="Aptos" w:hAnsi="Aptos"/>
          <w:sz w:val="21"/>
          <w:szCs w:val="21"/>
          <w:lang w:val="en-US"/>
        </w:rPr>
        <w:t>ion</w:t>
      </w:r>
      <w:proofErr w:type="spellEnd"/>
      <w:r w:rsidR="00E845CB" w:rsidRPr="00B03DF9">
        <w:rPr>
          <w:rFonts w:ascii="Aptos" w:hAnsi="Aptos"/>
          <w:sz w:val="21"/>
          <w:szCs w:val="21"/>
          <w:lang w:val="en-US"/>
        </w:rPr>
        <w:t xml:space="preserve">, pharmaceutical development, regulatory strategy, and corporate growth, ensuring that the platform </w:t>
      </w:r>
      <w:r w:rsidR="00E845CB" w:rsidRPr="00B03DF9">
        <w:rPr>
          <w:rFonts w:ascii="Aptos" w:hAnsi="Aptos"/>
          <w:b/>
          <w:bCs/>
          <w:sz w:val="21"/>
          <w:szCs w:val="21"/>
          <w:lang w:val="en-US"/>
        </w:rPr>
        <w:t>can advance efficiently from innovation to clinical and commercial execution</w:t>
      </w:r>
      <w:r w:rsidR="00E845CB" w:rsidRPr="00B03DF9">
        <w:rPr>
          <w:rFonts w:ascii="Aptos" w:hAnsi="Aptos"/>
          <w:sz w:val="21"/>
          <w:szCs w:val="21"/>
          <w:lang w:val="en-US"/>
        </w:rPr>
        <w:t>.</w:t>
      </w:r>
    </w:p>
    <w:p w14:paraId="01FC8A97" w14:textId="77777777" w:rsidR="00B03DF9" w:rsidRDefault="009F525D" w:rsidP="00B03DF9">
      <w:pPr>
        <w:snapToGrid w:val="0"/>
        <w:spacing w:beforeLines="80" w:before="192" w:afterLines="80" w:after="192"/>
        <w:jc w:val="both"/>
        <w:rPr>
          <w:rFonts w:ascii="Aptos" w:hAnsi="Aptos"/>
          <w:sz w:val="21"/>
          <w:szCs w:val="21"/>
          <w:lang w:val="en-US"/>
        </w:rPr>
      </w:pPr>
      <w:r w:rsidRPr="00B03DF9">
        <w:rPr>
          <w:rFonts w:ascii="Aptos" w:hAnsi="Aptos"/>
          <w:sz w:val="21"/>
          <w:szCs w:val="21"/>
          <w:lang w:val="en-US"/>
        </w:rPr>
        <w:t>Bio</w:t>
      </w:r>
      <w:r w:rsidRPr="00B03DF9">
        <w:rPr>
          <w:rFonts w:ascii="Aptos" w:hAnsi="Aptos"/>
          <w:sz w:val="21"/>
          <w:szCs w:val="21"/>
          <w:lang w:val="en-US"/>
        </w:rPr>
        <w:noBreakHyphen/>
        <w:t xml:space="preserve">Sourcing has </w:t>
      </w:r>
      <w:r w:rsidR="00E845CB" w:rsidRPr="00B03DF9">
        <w:rPr>
          <w:rFonts w:ascii="Aptos" w:hAnsi="Aptos"/>
          <w:sz w:val="21"/>
          <w:szCs w:val="21"/>
          <w:lang w:val="en-US"/>
        </w:rPr>
        <w:t xml:space="preserve">received </w:t>
      </w:r>
      <w:r w:rsidR="00E845CB" w:rsidRPr="00B03DF9">
        <w:rPr>
          <w:rFonts w:ascii="Aptos" w:hAnsi="Aptos"/>
          <w:b/>
          <w:bCs/>
          <w:sz w:val="21"/>
          <w:szCs w:val="21"/>
          <w:lang w:val="en-US"/>
        </w:rPr>
        <w:t>constant support and recognition from European Authorities</w:t>
      </w:r>
      <w:r w:rsidR="00823A67" w:rsidRPr="00B03DF9">
        <w:rPr>
          <w:rFonts w:ascii="Aptos" w:hAnsi="Aptos"/>
          <w:b/>
          <w:bCs/>
          <w:sz w:val="21"/>
          <w:szCs w:val="21"/>
          <w:lang w:val="en-US"/>
        </w:rPr>
        <w:t> </w:t>
      </w:r>
      <w:r w:rsidR="00823A67" w:rsidRPr="00B03DF9">
        <w:rPr>
          <w:rFonts w:ascii="Aptos" w:hAnsi="Aptos"/>
          <w:sz w:val="21"/>
          <w:szCs w:val="21"/>
          <w:lang w:val="en-US"/>
        </w:rPr>
        <w:t>:</w:t>
      </w:r>
      <w:r w:rsidR="00E845CB" w:rsidRPr="00B03DF9">
        <w:rPr>
          <w:rFonts w:ascii="Aptos" w:hAnsi="Aptos"/>
          <w:sz w:val="21"/>
          <w:szCs w:val="21"/>
          <w:lang w:val="en-US"/>
        </w:rPr>
        <w:t xml:space="preserve"> </w:t>
      </w:r>
      <w:r w:rsidRPr="00B03DF9">
        <w:rPr>
          <w:rFonts w:ascii="Aptos" w:hAnsi="Aptos"/>
          <w:sz w:val="21"/>
          <w:szCs w:val="21"/>
          <w:lang w:val="en-US"/>
        </w:rPr>
        <w:t>two Eurostars gran</w:t>
      </w:r>
      <w:r w:rsidR="00823A67" w:rsidRPr="00B03DF9">
        <w:rPr>
          <w:rFonts w:ascii="Aptos" w:hAnsi="Aptos"/>
          <w:sz w:val="21"/>
          <w:szCs w:val="21"/>
          <w:lang w:val="en-US"/>
        </w:rPr>
        <w:t>ts</w:t>
      </w:r>
      <w:r w:rsidRPr="00B03DF9">
        <w:rPr>
          <w:rFonts w:ascii="Aptos" w:hAnsi="Aptos"/>
          <w:sz w:val="21"/>
          <w:szCs w:val="21"/>
          <w:lang w:val="en-US"/>
        </w:rPr>
        <w:t xml:space="preserve">, an EIC Accelerator grant and </w:t>
      </w:r>
      <w:r w:rsidR="00E845CB" w:rsidRPr="00B03DF9">
        <w:rPr>
          <w:rFonts w:ascii="Aptos" w:hAnsi="Aptos"/>
          <w:sz w:val="21"/>
          <w:szCs w:val="21"/>
          <w:lang w:val="en-US"/>
        </w:rPr>
        <w:t>a f</w:t>
      </w:r>
      <w:r w:rsidR="00823A67" w:rsidRPr="00B03DF9">
        <w:rPr>
          <w:rFonts w:ascii="Aptos" w:hAnsi="Aptos"/>
          <w:sz w:val="21"/>
          <w:szCs w:val="21"/>
          <w:lang w:val="en-US"/>
        </w:rPr>
        <w:t>r</w:t>
      </w:r>
      <w:r w:rsidR="00E845CB" w:rsidRPr="00B03DF9">
        <w:rPr>
          <w:rFonts w:ascii="Aptos" w:hAnsi="Aptos"/>
          <w:sz w:val="21"/>
          <w:szCs w:val="21"/>
          <w:lang w:val="en-US"/>
        </w:rPr>
        <w:t xml:space="preserve">eshly </w:t>
      </w:r>
      <w:r w:rsidRPr="00B03DF9">
        <w:rPr>
          <w:rFonts w:ascii="Aptos" w:hAnsi="Aptos"/>
          <w:sz w:val="21"/>
          <w:szCs w:val="21"/>
          <w:lang w:val="en-US"/>
        </w:rPr>
        <w:t>received non-binding term sheet from EIC</w:t>
      </w:r>
      <w:r w:rsidR="009903E0" w:rsidRPr="00B03DF9">
        <w:rPr>
          <w:rFonts w:ascii="Aptos" w:hAnsi="Aptos"/>
          <w:sz w:val="21"/>
          <w:szCs w:val="21"/>
          <w:lang w:val="en-US"/>
        </w:rPr>
        <w:t xml:space="preserve"> </w:t>
      </w:r>
      <w:r w:rsidRPr="00B03DF9">
        <w:rPr>
          <w:rFonts w:ascii="Aptos" w:hAnsi="Aptos"/>
          <w:sz w:val="21"/>
          <w:szCs w:val="21"/>
          <w:lang w:val="en-US"/>
        </w:rPr>
        <w:t>Fund for an equity investment of €8m as part of its ongoing €30m equity raise.</w:t>
      </w:r>
    </w:p>
    <w:p w14:paraId="4DEA484B" w14:textId="11E5E4A0" w:rsidR="009F525D" w:rsidRPr="00B03DF9" w:rsidRDefault="009F525D" w:rsidP="00B03DF9">
      <w:pPr>
        <w:snapToGrid w:val="0"/>
        <w:spacing w:beforeLines="80" w:before="192" w:afterLines="80" w:after="192"/>
        <w:jc w:val="both"/>
        <w:rPr>
          <w:rFonts w:ascii="Aptos" w:hAnsi="Aptos"/>
          <w:sz w:val="21"/>
          <w:szCs w:val="21"/>
          <w:lang w:val="en-US"/>
        </w:rPr>
      </w:pPr>
      <w:r w:rsidRPr="00B03DF9">
        <w:rPr>
          <w:rFonts w:ascii="Aptos" w:hAnsi="Aptos"/>
          <w:sz w:val="21"/>
          <w:szCs w:val="21"/>
          <w:lang w:val="en-US"/>
        </w:rPr>
        <w:t>With strong momentu</w:t>
      </w:r>
      <w:r w:rsidR="005059FF">
        <w:rPr>
          <w:rFonts w:ascii="Aptos" w:hAnsi="Aptos"/>
          <w:sz w:val="21"/>
          <w:szCs w:val="21"/>
          <w:lang w:val="en-US"/>
        </w:rPr>
        <w:t>m</w:t>
      </w:r>
      <w:r w:rsidRPr="00B03DF9">
        <w:rPr>
          <w:rFonts w:ascii="Aptos" w:hAnsi="Aptos"/>
          <w:sz w:val="21"/>
          <w:szCs w:val="21"/>
          <w:lang w:val="en-US"/>
        </w:rPr>
        <w:t xml:space="preserve">, a validated platform, and a pipeline entering clinical development, the company </w:t>
      </w:r>
      <w:r w:rsidR="000E495C" w:rsidRPr="00B03DF9">
        <w:rPr>
          <w:rFonts w:ascii="Aptos" w:hAnsi="Aptos"/>
          <w:sz w:val="21"/>
          <w:szCs w:val="21"/>
          <w:lang w:val="en-US"/>
        </w:rPr>
        <w:t>has the required assets to tackle a crucial phase of value creation by expanding biotherapeutic markets and creating new ones on a global scale.</w:t>
      </w:r>
    </w:p>
    <w:p w14:paraId="538882F6" w14:textId="4EBA9012" w:rsidR="00964F74" w:rsidRPr="009F525D" w:rsidRDefault="00964F74" w:rsidP="0001071A">
      <w:pPr>
        <w:pStyle w:val="NormalWeb"/>
        <w:spacing w:before="0" w:beforeAutospacing="0" w:after="0" w:afterAutospacing="0"/>
        <w:jc w:val="center"/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</w:pPr>
      <w:r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March 202</w:t>
      </w:r>
      <w:r w:rsidR="00AA0E9F"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6</w:t>
      </w:r>
    </w:p>
    <w:p w14:paraId="3771ABBB" w14:textId="2C299D69" w:rsidR="00224439" w:rsidRPr="009F525D" w:rsidRDefault="0099431E" w:rsidP="00964F74">
      <w:pPr>
        <w:pStyle w:val="NormalWeb"/>
        <w:spacing w:before="0" w:beforeAutospacing="0" w:after="0" w:afterAutospacing="0"/>
        <w:jc w:val="center"/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</w:pPr>
      <w:r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 xml:space="preserve">CEO – </w:t>
      </w:r>
      <w:r w:rsidR="00C80DB2"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 xml:space="preserve">Dr. </w:t>
      </w:r>
      <w:r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 xml:space="preserve">Bertrand Mérot – </w:t>
      </w:r>
      <w:hyperlink r:id="rId7" w:history="1">
        <w:r w:rsidRPr="009F525D">
          <w:rPr>
            <w:rStyle w:val="Hyperlink"/>
            <w:rFonts w:ascii="Aptos" w:hAnsi="Aptos" w:cs="Segoe UI"/>
            <w:color w:val="808080" w:themeColor="background1" w:themeShade="80"/>
            <w:sz w:val="15"/>
            <w:szCs w:val="15"/>
            <w:u w:val="none"/>
            <w:lang w:val="en-US"/>
          </w:rPr>
          <w:t>bertrand.merot@bio-sourcing.eu</w:t>
        </w:r>
      </w:hyperlink>
      <w:r w:rsidR="00224439"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 xml:space="preserve">   </w:t>
      </w:r>
      <w:r w:rsidR="00A45FBB"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-</w:t>
      </w:r>
      <w:r w:rsidR="00224439"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 xml:space="preserve">   </w:t>
      </w:r>
      <w:r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CFO – Maxime Wallerand – maxime.wallerand@bio-sourcing.eu</w:t>
      </w:r>
    </w:p>
    <w:p w14:paraId="005FD913" w14:textId="3C52EB55" w:rsidR="00C80DB2" w:rsidRPr="009F525D" w:rsidRDefault="00224439" w:rsidP="00964F74">
      <w:pPr>
        <w:jc w:val="center"/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</w:pPr>
      <w:r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 xml:space="preserve">Bio-Sourcing SA, </w:t>
      </w:r>
      <w:r w:rsidR="00BE0133"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headquarter</w:t>
      </w:r>
      <w:r w:rsidR="00823A67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s</w:t>
      </w:r>
      <w:r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 xml:space="preserve"> Boule</w:t>
      </w:r>
      <w:r w:rsidR="00C80DB2"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v</w:t>
      </w:r>
      <w:r w:rsidRPr="009F525D">
        <w:rPr>
          <w:rFonts w:ascii="Aptos" w:hAnsi="Aptos" w:cs="Segoe UI"/>
          <w:color w:val="808080" w:themeColor="background1" w:themeShade="80"/>
          <w:sz w:val="15"/>
          <w:szCs w:val="15"/>
          <w:lang w:val="en-US"/>
        </w:rPr>
        <w:t>ard du Rectorat 27b, 4000 Liège, Belgium</w:t>
      </w:r>
    </w:p>
    <w:p w14:paraId="04ECE812" w14:textId="57DE86E8" w:rsidR="00B60672" w:rsidRPr="009F525D" w:rsidRDefault="00C80DB2" w:rsidP="00964F74">
      <w:pPr>
        <w:jc w:val="center"/>
        <w:rPr>
          <w:rFonts w:ascii="Aptos" w:eastAsia="Calibri" w:hAnsi="Aptos" w:cs="Segoe UI"/>
          <w:noProof/>
          <w:color w:val="000000"/>
          <w:kern w:val="0"/>
          <w:sz w:val="15"/>
          <w:szCs w:val="15"/>
          <w:lang w:val="en-US" w:eastAsia="en-GB"/>
          <w14:ligatures w14:val="none"/>
        </w:rPr>
      </w:pPr>
      <w:hyperlink r:id="rId8" w:history="1">
        <w:r w:rsidRPr="009F525D">
          <w:rPr>
            <w:rFonts w:ascii="Aptos" w:eastAsia="Calibri" w:hAnsi="Aptos" w:cs="Segoe UI"/>
            <w:noProof/>
            <w:color w:val="0000FF"/>
            <w:kern w:val="0"/>
            <w:sz w:val="15"/>
            <w:szCs w:val="15"/>
            <w:u w:val="single"/>
            <w:lang w:val="en-US" w:eastAsia="en-GB"/>
            <w14:ligatures w14:val="none"/>
          </w:rPr>
          <w:t>www.bio-sourcing.com</w:t>
        </w:r>
      </w:hyperlink>
      <w:r w:rsidRPr="009F525D">
        <w:rPr>
          <w:rFonts w:ascii="Aptos" w:eastAsia="Calibri" w:hAnsi="Aptos" w:cs="Segoe UI"/>
          <w:noProof/>
          <w:color w:val="000000"/>
          <w:kern w:val="0"/>
          <w:sz w:val="15"/>
          <w:szCs w:val="15"/>
          <w:lang w:val="en-US" w:eastAsia="en-GB"/>
          <w14:ligatures w14:val="none"/>
        </w:rPr>
        <w:t xml:space="preserve">     </w:t>
      </w:r>
      <w:hyperlink r:id="rId9" w:history="1">
        <w:r w:rsidR="007C07D1" w:rsidRPr="009F525D">
          <w:rPr>
            <w:rStyle w:val="Hyperlink"/>
            <w:rFonts w:ascii="Aptos" w:eastAsia="Calibri" w:hAnsi="Aptos" w:cs="Segoe UI"/>
            <w:noProof/>
            <w:kern w:val="0"/>
            <w:sz w:val="15"/>
            <w:szCs w:val="15"/>
            <w:lang w:val="en-US" w:eastAsia="en-GB"/>
            <w14:ligatures w14:val="none"/>
          </w:rPr>
          <w:t>https://www.nature.com/articles/Bio-Sourcing/Best Natural Bioreactor</w:t>
        </w:r>
      </w:hyperlink>
    </w:p>
    <w:sectPr w:rsidR="00B60672" w:rsidRPr="009F525D" w:rsidSect="0001071A">
      <w:pgSz w:w="11906" w:h="16838"/>
      <w:pgMar w:top="832" w:right="838" w:bottom="142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0CF3"/>
    <w:multiLevelType w:val="hybridMultilevel"/>
    <w:tmpl w:val="3F18F770"/>
    <w:lvl w:ilvl="0" w:tplc="B0D2FC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D1E40"/>
    <w:multiLevelType w:val="multilevel"/>
    <w:tmpl w:val="7AE0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B0883"/>
    <w:multiLevelType w:val="hybridMultilevel"/>
    <w:tmpl w:val="514A042A"/>
    <w:lvl w:ilvl="0" w:tplc="080C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729771161">
    <w:abstractNumId w:val="2"/>
  </w:num>
  <w:num w:numId="2" w16cid:durableId="199785041">
    <w:abstractNumId w:val="0"/>
  </w:num>
  <w:num w:numId="3" w16cid:durableId="71704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DD"/>
    <w:rsid w:val="0001071A"/>
    <w:rsid w:val="000970BD"/>
    <w:rsid w:val="000A7E19"/>
    <w:rsid w:val="000C4429"/>
    <w:rsid w:val="000E495C"/>
    <w:rsid w:val="00116610"/>
    <w:rsid w:val="001303C9"/>
    <w:rsid w:val="00191331"/>
    <w:rsid w:val="001C0FCE"/>
    <w:rsid w:val="001C351A"/>
    <w:rsid w:val="001D3BEB"/>
    <w:rsid w:val="00203C7D"/>
    <w:rsid w:val="00224439"/>
    <w:rsid w:val="0022655A"/>
    <w:rsid w:val="00250748"/>
    <w:rsid w:val="00252C4D"/>
    <w:rsid w:val="00266A5E"/>
    <w:rsid w:val="0028319F"/>
    <w:rsid w:val="002C4F2F"/>
    <w:rsid w:val="00321FAB"/>
    <w:rsid w:val="003E1324"/>
    <w:rsid w:val="00405EE9"/>
    <w:rsid w:val="0042046C"/>
    <w:rsid w:val="00432056"/>
    <w:rsid w:val="00460A0A"/>
    <w:rsid w:val="004816DA"/>
    <w:rsid w:val="004C2491"/>
    <w:rsid w:val="004C40A5"/>
    <w:rsid w:val="004F566C"/>
    <w:rsid w:val="005059FF"/>
    <w:rsid w:val="00506AD7"/>
    <w:rsid w:val="00570925"/>
    <w:rsid w:val="005B31D5"/>
    <w:rsid w:val="005D1582"/>
    <w:rsid w:val="005E7E2A"/>
    <w:rsid w:val="005F5241"/>
    <w:rsid w:val="00654A2B"/>
    <w:rsid w:val="006828B3"/>
    <w:rsid w:val="006A2299"/>
    <w:rsid w:val="006B139A"/>
    <w:rsid w:val="006C322C"/>
    <w:rsid w:val="006C60EC"/>
    <w:rsid w:val="006D2321"/>
    <w:rsid w:val="00710F8D"/>
    <w:rsid w:val="00714D18"/>
    <w:rsid w:val="00726A96"/>
    <w:rsid w:val="00730782"/>
    <w:rsid w:val="007912A2"/>
    <w:rsid w:val="007B2B34"/>
    <w:rsid w:val="007B391D"/>
    <w:rsid w:val="007B59C4"/>
    <w:rsid w:val="007C07D1"/>
    <w:rsid w:val="00803466"/>
    <w:rsid w:val="00810BEE"/>
    <w:rsid w:val="00823A67"/>
    <w:rsid w:val="0083287B"/>
    <w:rsid w:val="00856AC7"/>
    <w:rsid w:val="0089781D"/>
    <w:rsid w:val="008E488E"/>
    <w:rsid w:val="009103DA"/>
    <w:rsid w:val="00927C4C"/>
    <w:rsid w:val="009310DD"/>
    <w:rsid w:val="009522B5"/>
    <w:rsid w:val="00960A94"/>
    <w:rsid w:val="00961555"/>
    <w:rsid w:val="00962086"/>
    <w:rsid w:val="00964F74"/>
    <w:rsid w:val="009903E0"/>
    <w:rsid w:val="0099431E"/>
    <w:rsid w:val="0099675A"/>
    <w:rsid w:val="009977FE"/>
    <w:rsid w:val="009A66F6"/>
    <w:rsid w:val="009B06D1"/>
    <w:rsid w:val="009F525D"/>
    <w:rsid w:val="00A04FC3"/>
    <w:rsid w:val="00A132BB"/>
    <w:rsid w:val="00A24E0C"/>
    <w:rsid w:val="00A45FBB"/>
    <w:rsid w:val="00A47D3C"/>
    <w:rsid w:val="00A51C0A"/>
    <w:rsid w:val="00AA0E9F"/>
    <w:rsid w:val="00AD1EB7"/>
    <w:rsid w:val="00AE403C"/>
    <w:rsid w:val="00B03DF9"/>
    <w:rsid w:val="00B13142"/>
    <w:rsid w:val="00B46866"/>
    <w:rsid w:val="00B522C3"/>
    <w:rsid w:val="00B60672"/>
    <w:rsid w:val="00B843C7"/>
    <w:rsid w:val="00BA1C9F"/>
    <w:rsid w:val="00BB5FA6"/>
    <w:rsid w:val="00BE0133"/>
    <w:rsid w:val="00C0734C"/>
    <w:rsid w:val="00C37B9A"/>
    <w:rsid w:val="00C6201E"/>
    <w:rsid w:val="00C80DB2"/>
    <w:rsid w:val="00CC3B06"/>
    <w:rsid w:val="00CC5764"/>
    <w:rsid w:val="00D40F7D"/>
    <w:rsid w:val="00D51031"/>
    <w:rsid w:val="00D65BFF"/>
    <w:rsid w:val="00D83615"/>
    <w:rsid w:val="00D83D6C"/>
    <w:rsid w:val="00D96B4B"/>
    <w:rsid w:val="00DD7C48"/>
    <w:rsid w:val="00DE0398"/>
    <w:rsid w:val="00DF41AA"/>
    <w:rsid w:val="00E003DA"/>
    <w:rsid w:val="00E35F68"/>
    <w:rsid w:val="00E60B72"/>
    <w:rsid w:val="00E772D3"/>
    <w:rsid w:val="00E845CB"/>
    <w:rsid w:val="00E955D0"/>
    <w:rsid w:val="00EA06DD"/>
    <w:rsid w:val="00EF28E0"/>
    <w:rsid w:val="00F116E6"/>
    <w:rsid w:val="00F145F8"/>
    <w:rsid w:val="00F47214"/>
    <w:rsid w:val="00F74AC0"/>
    <w:rsid w:val="00FB7874"/>
    <w:rsid w:val="00F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AB4D57"/>
  <w15:chartTrackingRefBased/>
  <w15:docId w15:val="{815EE682-BAE7-DD4A-B39C-07F17AA6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4D"/>
  </w:style>
  <w:style w:type="paragraph" w:styleId="Heading1">
    <w:name w:val="heading 1"/>
    <w:basedOn w:val="Normal"/>
    <w:next w:val="Normal"/>
    <w:link w:val="Heading1Char"/>
    <w:uiPriority w:val="9"/>
    <w:qFormat/>
    <w:rsid w:val="00EA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6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6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A06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DefaultParagraphFont"/>
    <w:rsid w:val="00EA06DD"/>
  </w:style>
  <w:style w:type="character" w:styleId="Strong">
    <w:name w:val="Strong"/>
    <w:basedOn w:val="DefaultParagraphFont"/>
    <w:uiPriority w:val="22"/>
    <w:qFormat/>
    <w:rsid w:val="00EA06DD"/>
    <w:rPr>
      <w:b/>
      <w:bCs/>
    </w:rPr>
  </w:style>
  <w:style w:type="character" w:styleId="Hyperlink">
    <w:name w:val="Hyperlink"/>
    <w:basedOn w:val="DefaultParagraphFont"/>
    <w:uiPriority w:val="99"/>
    <w:unhideWhenUsed/>
    <w:rsid w:val="009943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3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6A5E"/>
  </w:style>
  <w:style w:type="character" w:styleId="FollowedHyperlink">
    <w:name w:val="FollowedHyperlink"/>
    <w:basedOn w:val="DefaultParagraphFont"/>
    <w:uiPriority w:val="99"/>
    <w:semiHidden/>
    <w:unhideWhenUsed/>
    <w:rsid w:val="00710F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-sourc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trand.merot@bio-sourcin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d43747-025-00024-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54334A-851E-114A-8DDF-9E2795172D4B}">
  <we:reference id="wa200005121" version="1.2.0.0" store="en-US" storeType="OMEX"/>
  <we:alternateReferences>
    <we:reference id="WA20000512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3125</Characters>
  <Application>Microsoft Office Word</Application>
  <DocSecurity>0</DocSecurity>
  <Lines>46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Wallerand</dc:creator>
  <cp:keywords/>
  <dc:description/>
  <cp:lastModifiedBy>Bernard Linsmeau</cp:lastModifiedBy>
  <cp:revision>9</cp:revision>
  <cp:lastPrinted>2026-03-05T14:59:00Z</cp:lastPrinted>
  <dcterms:created xsi:type="dcterms:W3CDTF">2026-03-11T14:57:00Z</dcterms:created>
  <dcterms:modified xsi:type="dcterms:W3CDTF">2026-03-11T15:05:00Z</dcterms:modified>
</cp:coreProperties>
</file>